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538AB" w14:textId="647AFC09" w:rsidR="00235A4D" w:rsidRPr="00BC3C36" w:rsidRDefault="00BC3C36">
      <w:pPr>
        <w:rPr>
          <w:rFonts w:ascii="Mulish" w:hAnsi="Mulish"/>
          <w:lang w:val="de-DE"/>
        </w:rPr>
      </w:pPr>
      <w:r w:rsidRPr="00BC3C36">
        <w:rPr>
          <w:rFonts w:ascii="Mulish" w:hAnsi="Mulish"/>
          <w:lang w:val="de-DE"/>
        </w:rPr>
        <w:t>TAGASISIDE ESMA- JA KORDUSHINDAMISE JUHENDI MUUDATUSTELE</w:t>
      </w:r>
    </w:p>
    <w:tbl>
      <w:tblPr>
        <w:tblStyle w:val="Kontuurtabel"/>
        <w:tblW w:w="0" w:type="auto"/>
        <w:tblLook w:val="04A0" w:firstRow="1" w:lastRow="0" w:firstColumn="1" w:lastColumn="0" w:noHBand="0" w:noVBand="1"/>
      </w:tblPr>
      <w:tblGrid>
        <w:gridCol w:w="2498"/>
        <w:gridCol w:w="5674"/>
        <w:gridCol w:w="4824"/>
      </w:tblGrid>
      <w:tr w:rsidR="00BC3C36" w:rsidRPr="00BC3C36" w14:paraId="2213BA77" w14:textId="77777777" w:rsidTr="00F6121B">
        <w:tc>
          <w:tcPr>
            <w:tcW w:w="2498" w:type="dxa"/>
          </w:tcPr>
          <w:p w14:paraId="0BC98804" w14:textId="2B44E8A9" w:rsidR="00BC3C36" w:rsidRPr="00BC3C36" w:rsidRDefault="00BC3C36">
            <w:pPr>
              <w:rPr>
                <w:rFonts w:ascii="Mulish" w:hAnsi="Mulish"/>
                <w:lang w:val="de-DE"/>
              </w:rPr>
            </w:pPr>
            <w:r w:rsidRPr="00BC3C36">
              <w:rPr>
                <w:rFonts w:ascii="Mulish" w:hAnsi="Mulish"/>
                <w:lang w:val="de-DE"/>
              </w:rPr>
              <w:t>ASUTUS</w:t>
            </w:r>
          </w:p>
        </w:tc>
        <w:tc>
          <w:tcPr>
            <w:tcW w:w="5674" w:type="dxa"/>
          </w:tcPr>
          <w:p w14:paraId="4D73B72D" w14:textId="3226EAAD" w:rsidR="00BC3C36" w:rsidRPr="00BC3C36" w:rsidRDefault="00BC3C36">
            <w:pPr>
              <w:rPr>
                <w:rFonts w:ascii="Mulish" w:hAnsi="Mulish"/>
                <w:lang w:val="de-DE"/>
              </w:rPr>
            </w:pPr>
            <w:r w:rsidRPr="00BC3C36">
              <w:rPr>
                <w:rFonts w:ascii="Mulish" w:hAnsi="Mulish"/>
                <w:lang w:val="de-DE"/>
              </w:rPr>
              <w:t>KOMMENTAAR</w:t>
            </w:r>
          </w:p>
        </w:tc>
        <w:tc>
          <w:tcPr>
            <w:tcW w:w="4824" w:type="dxa"/>
          </w:tcPr>
          <w:p w14:paraId="6B471C40" w14:textId="18DE87B3" w:rsidR="00BC3C36" w:rsidRPr="00BC3C36" w:rsidRDefault="00BC3C36">
            <w:pPr>
              <w:rPr>
                <w:rFonts w:ascii="Mulish" w:hAnsi="Mulish"/>
                <w:lang w:val="de-DE"/>
              </w:rPr>
            </w:pPr>
            <w:r w:rsidRPr="00BC3C36">
              <w:rPr>
                <w:rFonts w:ascii="Mulish" w:hAnsi="Mulish"/>
                <w:lang w:val="de-DE"/>
              </w:rPr>
              <w:t>HAKA VASTUS</w:t>
            </w:r>
          </w:p>
        </w:tc>
      </w:tr>
      <w:tr w:rsidR="00BC3C36" w:rsidRPr="00BC3C36" w14:paraId="5681E853" w14:textId="77777777" w:rsidTr="00F6121B">
        <w:tc>
          <w:tcPr>
            <w:tcW w:w="2498" w:type="dxa"/>
          </w:tcPr>
          <w:p w14:paraId="69E51A67" w14:textId="4ABD7645" w:rsidR="00BC3C36" w:rsidRPr="00BC3C36" w:rsidRDefault="00BC3C36">
            <w:pPr>
              <w:rPr>
                <w:rFonts w:ascii="Mulish" w:hAnsi="Mulish"/>
                <w:lang w:val="de-DE"/>
              </w:rPr>
            </w:pPr>
            <w:r w:rsidRPr="00BC3C36">
              <w:rPr>
                <w:rFonts w:ascii="Mulish" w:hAnsi="Mulish"/>
                <w:lang w:val="de-DE"/>
              </w:rPr>
              <w:t>EEKBL KUS</w:t>
            </w:r>
          </w:p>
        </w:tc>
        <w:tc>
          <w:tcPr>
            <w:tcW w:w="5674" w:type="dxa"/>
          </w:tcPr>
          <w:p w14:paraId="1532E3F2" w14:textId="2ADA0EBD" w:rsidR="00BC3C36" w:rsidRPr="00BC3C36" w:rsidRDefault="00BC3C36">
            <w:pPr>
              <w:rPr>
                <w:rFonts w:ascii="Mulish" w:hAnsi="Mulish"/>
                <w:lang w:val="et-EE"/>
              </w:rPr>
            </w:pPr>
            <w:r w:rsidRPr="00BC3C36">
              <w:rPr>
                <w:rFonts w:ascii="Mulish" w:hAnsi="Mulish"/>
                <w:lang w:val="et-EE"/>
              </w:rPr>
              <w:t>Lugesin läbi ja kõik tundub loogiline. Suuri muutusi ei ole. Pigem on läinud lihtsamaks ja selgemaks. Nii et meie oleme valmis sellega edasi minema.</w:t>
            </w:r>
          </w:p>
        </w:tc>
        <w:tc>
          <w:tcPr>
            <w:tcW w:w="4824" w:type="dxa"/>
          </w:tcPr>
          <w:p w14:paraId="5C5F7E6C" w14:textId="0A743DDB" w:rsidR="00BC3C36" w:rsidRPr="00BC3C36" w:rsidRDefault="00BC3C36">
            <w:pPr>
              <w:rPr>
                <w:rFonts w:ascii="Mulish" w:hAnsi="Mulish"/>
                <w:lang w:val="de-DE"/>
              </w:rPr>
            </w:pPr>
            <w:r>
              <w:rPr>
                <w:rFonts w:ascii="Mulish" w:hAnsi="Mulish"/>
                <w:lang w:val="de-DE"/>
              </w:rPr>
              <w:t>-</w:t>
            </w:r>
          </w:p>
        </w:tc>
      </w:tr>
      <w:tr w:rsidR="00F6121B" w:rsidRPr="00066C05" w14:paraId="683A858F" w14:textId="77777777" w:rsidTr="00F6121B">
        <w:trPr>
          <w:trHeight w:val="358"/>
        </w:trPr>
        <w:tc>
          <w:tcPr>
            <w:tcW w:w="2498" w:type="dxa"/>
            <w:vMerge w:val="restart"/>
          </w:tcPr>
          <w:p w14:paraId="50BA91FE" w14:textId="62237CD9" w:rsidR="00F6121B" w:rsidRPr="00BC3C36" w:rsidRDefault="00F6121B">
            <w:pPr>
              <w:rPr>
                <w:rFonts w:ascii="Mulish" w:hAnsi="Mulish"/>
                <w:lang w:val="de-DE"/>
              </w:rPr>
            </w:pPr>
            <w:r>
              <w:rPr>
                <w:rFonts w:ascii="Mulish" w:hAnsi="Mulish"/>
                <w:lang w:val="de-DE"/>
              </w:rPr>
              <w:t>TARTU THK</w:t>
            </w:r>
          </w:p>
        </w:tc>
        <w:tc>
          <w:tcPr>
            <w:tcW w:w="5674" w:type="dxa"/>
          </w:tcPr>
          <w:p w14:paraId="207F8EF3" w14:textId="4A028452" w:rsidR="00F6121B" w:rsidRPr="00820E9A" w:rsidRDefault="00066C05">
            <w:pPr>
              <w:rPr>
                <w:rFonts w:ascii="Mulish" w:hAnsi="Mulish"/>
                <w:lang w:val="et-EE"/>
              </w:rPr>
            </w:pPr>
            <w:r w:rsidRPr="00820E9A">
              <w:rPr>
                <w:rFonts w:eastAsia="Times New Roman"/>
                <w:color w:val="000000"/>
                <w:lang w:val="et-EE"/>
              </w:rPr>
              <w:t>Uus korrigeeritud juhendi versioon on arusaadavam ja selgem nii sõnatuses kui ülesehituses.</w:t>
            </w:r>
          </w:p>
        </w:tc>
        <w:tc>
          <w:tcPr>
            <w:tcW w:w="4824" w:type="dxa"/>
          </w:tcPr>
          <w:p w14:paraId="589BB34D" w14:textId="5D9B1D9F" w:rsidR="00F6121B" w:rsidRPr="00066C05" w:rsidRDefault="00066C05">
            <w:pPr>
              <w:rPr>
                <w:rFonts w:ascii="Mulish" w:hAnsi="Mulish"/>
                <w:lang w:val="de-DE"/>
              </w:rPr>
            </w:pPr>
            <w:r>
              <w:rPr>
                <w:rFonts w:ascii="Mulish" w:hAnsi="Mulish"/>
                <w:lang w:val="de-DE"/>
              </w:rPr>
              <w:t>-</w:t>
            </w:r>
          </w:p>
        </w:tc>
      </w:tr>
      <w:tr w:rsidR="00F6121B" w:rsidRPr="00F6121B" w14:paraId="16C63126" w14:textId="77777777" w:rsidTr="00F6121B">
        <w:trPr>
          <w:trHeight w:val="356"/>
        </w:trPr>
        <w:tc>
          <w:tcPr>
            <w:tcW w:w="2498" w:type="dxa"/>
            <w:vMerge/>
          </w:tcPr>
          <w:p w14:paraId="34BED203" w14:textId="77777777" w:rsidR="00F6121B" w:rsidRDefault="00F6121B">
            <w:pPr>
              <w:rPr>
                <w:rFonts w:ascii="Mulish" w:hAnsi="Mulish"/>
                <w:lang w:val="de-DE"/>
              </w:rPr>
            </w:pPr>
          </w:p>
        </w:tc>
        <w:tc>
          <w:tcPr>
            <w:tcW w:w="5674" w:type="dxa"/>
          </w:tcPr>
          <w:p w14:paraId="178B907D" w14:textId="526C1280" w:rsidR="00F6121B" w:rsidRPr="00820E9A" w:rsidRDefault="00F6121B">
            <w:pPr>
              <w:rPr>
                <w:rFonts w:eastAsia="Times New Roman"/>
                <w:color w:val="000000"/>
                <w:lang w:val="et-EE"/>
              </w:rPr>
            </w:pPr>
            <w:r w:rsidRPr="00820E9A">
              <w:rPr>
                <w:rFonts w:eastAsia="Times New Roman"/>
                <w:color w:val="000000"/>
                <w:lang w:val="et-EE"/>
              </w:rPr>
              <w:t xml:space="preserve">1.4. Õppekava  õpiväljundid on võrdväärsed ja võrreldavad KHS lisas 1 kirjeldatud kõrgharidustaseme astme õpiväljunditega - </w:t>
            </w:r>
            <w:r w:rsidRPr="00820E9A">
              <w:rPr>
                <w:rFonts w:eastAsia="Times New Roman"/>
                <w:i/>
                <w:iCs/>
                <w:color w:val="000000"/>
                <w:lang w:val="et-EE"/>
              </w:rPr>
              <w:t>lühend KHS - kas siin on mõeldus kõrgharidusstandardit või kõrgharidusseadust. Ettepanek on lühendite selgitus lisada, et oleks aru saadavam, millisele dokumendile on viide.</w:t>
            </w:r>
          </w:p>
        </w:tc>
        <w:tc>
          <w:tcPr>
            <w:tcW w:w="4824" w:type="dxa"/>
          </w:tcPr>
          <w:p w14:paraId="6032C541" w14:textId="5511647C" w:rsidR="00F6121B" w:rsidRPr="00B1381F" w:rsidRDefault="00DE565A">
            <w:pPr>
              <w:rPr>
                <w:rFonts w:ascii="Mulish" w:hAnsi="Mulish"/>
                <w:lang w:val="et-EE"/>
              </w:rPr>
            </w:pPr>
            <w:r>
              <w:rPr>
                <w:rFonts w:ascii="Mulish" w:hAnsi="Mulish"/>
                <w:lang w:val="et-EE"/>
              </w:rPr>
              <w:t xml:space="preserve">Arvestame. </w:t>
            </w:r>
            <w:r w:rsidR="00B1381F" w:rsidRPr="00B1381F">
              <w:rPr>
                <w:rFonts w:ascii="Mulish" w:hAnsi="Mulish"/>
                <w:lang w:val="et-EE"/>
              </w:rPr>
              <w:t>Asendame “KHS” sõnaga “kõrgharidusstandardi”.</w:t>
            </w:r>
          </w:p>
        </w:tc>
      </w:tr>
      <w:tr w:rsidR="00F6121B" w:rsidRPr="00F6121B" w14:paraId="1BC39835" w14:textId="77777777" w:rsidTr="00F6121B">
        <w:trPr>
          <w:trHeight w:val="356"/>
        </w:trPr>
        <w:tc>
          <w:tcPr>
            <w:tcW w:w="2498" w:type="dxa"/>
            <w:vMerge/>
          </w:tcPr>
          <w:p w14:paraId="4C582CCF" w14:textId="77777777" w:rsidR="00F6121B" w:rsidRPr="00F6121B" w:rsidRDefault="00F6121B">
            <w:pPr>
              <w:rPr>
                <w:rFonts w:ascii="Mulish" w:hAnsi="Mulish"/>
                <w:lang w:val="en-GB"/>
              </w:rPr>
            </w:pPr>
          </w:p>
        </w:tc>
        <w:tc>
          <w:tcPr>
            <w:tcW w:w="5674" w:type="dxa"/>
          </w:tcPr>
          <w:p w14:paraId="6DBBEF44" w14:textId="5B792ACE" w:rsidR="00F6121B" w:rsidRPr="00820E9A" w:rsidRDefault="007663A7">
            <w:pPr>
              <w:rPr>
                <w:rFonts w:eastAsia="Times New Roman"/>
                <w:color w:val="000000"/>
                <w:lang w:val="et-EE"/>
              </w:rPr>
            </w:pPr>
            <w:r w:rsidRPr="00820E9A">
              <w:rPr>
                <w:rFonts w:eastAsia="Times New Roman"/>
                <w:color w:val="000000"/>
                <w:lang w:val="et-EE"/>
              </w:rPr>
              <w:t xml:space="preserve">Peatükis IV Hindamiskomisjoni moodustamine. </w:t>
            </w:r>
            <w:r w:rsidR="000A561D" w:rsidRPr="00820E9A">
              <w:rPr>
                <w:rFonts w:eastAsia="Times New Roman"/>
                <w:color w:val="000000"/>
                <w:lang w:val="et-EE"/>
              </w:rPr>
              <w:t xml:space="preserve">13.5.  Komisjoni liige tunneb kõrgharidussüsteemi toimimist ja seda reguleerivaid õigusakte, on kursis Euroopa Liidu kõrghariduse arengusuundade ja Eesti valdkondlike strateegiatega.- </w:t>
            </w:r>
            <w:r w:rsidR="000A561D" w:rsidRPr="00820E9A">
              <w:rPr>
                <w:rFonts w:eastAsia="Times New Roman"/>
                <w:i/>
                <w:iCs/>
                <w:color w:val="000000"/>
                <w:lang w:val="et-EE"/>
              </w:rPr>
              <w:t xml:space="preserve"> selle koha peal võik rõhutada, et " ...tunneb </w:t>
            </w:r>
            <w:r w:rsidR="003D38BE" w:rsidRPr="00820E9A">
              <w:rPr>
                <w:rFonts w:eastAsia="Times New Roman"/>
                <w:i/>
                <w:iCs/>
                <w:color w:val="000000"/>
                <w:lang w:val="et-EE"/>
              </w:rPr>
              <w:t xml:space="preserve">Eesti kõrgharidussüsteemi toimimist ja seda reguleerivaid õigusakte...", sest see  ei pruugi olla iseenesestmõistetav, </w:t>
            </w:r>
            <w:r w:rsidR="00820E9A" w:rsidRPr="00820E9A">
              <w:rPr>
                <w:rFonts w:eastAsia="Times New Roman"/>
                <w:i/>
                <w:iCs/>
                <w:color w:val="000000"/>
                <w:lang w:val="et-EE"/>
              </w:rPr>
              <w:t>kuid piirkondlike eripärade tundmine on oluline!</w:t>
            </w:r>
          </w:p>
        </w:tc>
        <w:tc>
          <w:tcPr>
            <w:tcW w:w="4824" w:type="dxa"/>
          </w:tcPr>
          <w:p w14:paraId="5DD6FD63" w14:textId="28B71BD5" w:rsidR="00F6121B" w:rsidRPr="00A86A85" w:rsidRDefault="00DE565A">
            <w:pPr>
              <w:rPr>
                <w:rFonts w:ascii="Mulish" w:hAnsi="Mulish"/>
                <w:lang w:val="et-EE"/>
              </w:rPr>
            </w:pPr>
            <w:r>
              <w:rPr>
                <w:rFonts w:ascii="Mulish" w:hAnsi="Mulish"/>
                <w:lang w:val="et-EE"/>
              </w:rPr>
              <w:t xml:space="preserve">Arvestame. </w:t>
            </w:r>
            <w:r w:rsidR="00A86A85" w:rsidRPr="00A86A85">
              <w:rPr>
                <w:rFonts w:ascii="Mulish" w:hAnsi="Mulish"/>
                <w:lang w:val="et-EE"/>
              </w:rPr>
              <w:t>Lisame sõna “Eesti”.</w:t>
            </w:r>
          </w:p>
        </w:tc>
      </w:tr>
      <w:tr w:rsidR="005A28B3" w:rsidRPr="00F606B7" w14:paraId="394B893E" w14:textId="77777777" w:rsidTr="005A28B3">
        <w:trPr>
          <w:trHeight w:val="63"/>
        </w:trPr>
        <w:tc>
          <w:tcPr>
            <w:tcW w:w="2498" w:type="dxa"/>
            <w:vMerge w:val="restart"/>
          </w:tcPr>
          <w:p w14:paraId="2822B111" w14:textId="3586BBE8" w:rsidR="005A28B3" w:rsidRPr="00F6121B" w:rsidRDefault="005A28B3">
            <w:pPr>
              <w:rPr>
                <w:rFonts w:ascii="Mulish" w:hAnsi="Mulish"/>
                <w:lang w:val="en-GB"/>
              </w:rPr>
            </w:pPr>
            <w:r>
              <w:rPr>
                <w:rFonts w:ascii="Mulish" w:hAnsi="Mulish"/>
                <w:lang w:val="en-GB"/>
              </w:rPr>
              <w:t>TALLINNA THK</w:t>
            </w:r>
          </w:p>
        </w:tc>
        <w:tc>
          <w:tcPr>
            <w:tcW w:w="5674" w:type="dxa"/>
          </w:tcPr>
          <w:p w14:paraId="55EFA527" w14:textId="736E8A34" w:rsidR="005A28B3" w:rsidRPr="005A28B3" w:rsidRDefault="005A28B3">
            <w:pPr>
              <w:rPr>
                <w:rFonts w:ascii="Mulish" w:hAnsi="Mulish"/>
                <w:lang w:val="et-EE"/>
              </w:rPr>
            </w:pPr>
            <w:r w:rsidRPr="005A28B3">
              <w:rPr>
                <w:lang w:val="et-EE"/>
              </w:rPr>
              <w:t>Mõned valdkonnad, mida kõrgkool peab esmahindamisel tõendama on IA käigus Eesti kõrgkoolides hinnatud ja tuleks kaaluda nende valdkondade analüüsimisest esmahindamisel loobuda. Sellised p (tabelis) oleksid 3.5; 3.6; 3.7; 4.1; 5.2; 5.4 ja 6.2.</w:t>
            </w:r>
          </w:p>
        </w:tc>
        <w:tc>
          <w:tcPr>
            <w:tcW w:w="4824" w:type="dxa"/>
          </w:tcPr>
          <w:p w14:paraId="659FAA0C" w14:textId="1329F00B" w:rsidR="005A28B3" w:rsidRPr="00AB72A2" w:rsidRDefault="00DE565A">
            <w:pPr>
              <w:rPr>
                <w:rFonts w:ascii="Mulish" w:hAnsi="Mulish"/>
                <w:lang w:val="et-EE"/>
              </w:rPr>
            </w:pPr>
            <w:r>
              <w:rPr>
                <w:rFonts w:ascii="Mulish" w:hAnsi="Mulish"/>
                <w:lang w:val="et-EE"/>
              </w:rPr>
              <w:t>Jätame need punktid siiski sisse. Esma- ja kordushindamisel hinnatakse olukorda õppekavagrupis. Senine kogemus näitab, et olukord õppekavagrupis/õppekaval võib erineda institutsiooni tasandil sätestatust.</w:t>
            </w:r>
            <w:r w:rsidR="00AB72A2" w:rsidRPr="00AB72A2">
              <w:rPr>
                <w:rFonts w:ascii="Mulish" w:hAnsi="Mulish"/>
                <w:lang w:val="et-EE"/>
              </w:rPr>
              <w:t xml:space="preserve"> IA </w:t>
            </w:r>
            <w:r>
              <w:rPr>
                <w:rFonts w:ascii="Mulish" w:hAnsi="Mulish"/>
                <w:lang w:val="et-EE"/>
              </w:rPr>
              <w:t xml:space="preserve">toimub üldiselt </w:t>
            </w:r>
            <w:r w:rsidR="00AB72A2" w:rsidRPr="00AB72A2">
              <w:rPr>
                <w:rFonts w:ascii="Mulish" w:hAnsi="Mulish"/>
                <w:lang w:val="et-EE"/>
              </w:rPr>
              <w:t>k</w:t>
            </w:r>
            <w:r w:rsidR="00AB72A2">
              <w:rPr>
                <w:rFonts w:ascii="Mulish" w:hAnsi="Mulish"/>
                <w:lang w:val="et-EE"/>
              </w:rPr>
              <w:t xml:space="preserve">ord 7 a jooksul, </w:t>
            </w:r>
            <w:r>
              <w:rPr>
                <w:rFonts w:ascii="Mulish" w:hAnsi="Mulish"/>
                <w:lang w:val="et-EE"/>
              </w:rPr>
              <w:t>muutused aga leiavad aset märksa kiiremini.</w:t>
            </w:r>
            <w:r w:rsidR="00AB72A2">
              <w:rPr>
                <w:rFonts w:ascii="Mulish" w:hAnsi="Mulish"/>
                <w:lang w:val="et-EE"/>
              </w:rPr>
              <w:t xml:space="preserve"> </w:t>
            </w:r>
            <w:r>
              <w:rPr>
                <w:rFonts w:ascii="Mulish" w:hAnsi="Mulish"/>
                <w:lang w:val="et-EE"/>
              </w:rPr>
              <w:t xml:space="preserve">Need punktid puudutavad </w:t>
            </w:r>
            <w:r w:rsidR="00AB72A2">
              <w:rPr>
                <w:rFonts w:ascii="Mulish" w:hAnsi="Mulish"/>
                <w:lang w:val="et-EE"/>
              </w:rPr>
              <w:t>ka uusi kõrgkoole ja uusi õppekavagruppe</w:t>
            </w:r>
            <w:r>
              <w:rPr>
                <w:rFonts w:ascii="Mulish" w:hAnsi="Mulish"/>
                <w:lang w:val="et-EE"/>
              </w:rPr>
              <w:t xml:space="preserve"> olemasolevates kõrgkoolides.</w:t>
            </w:r>
          </w:p>
        </w:tc>
      </w:tr>
      <w:tr w:rsidR="005A28B3" w:rsidRPr="00F606B7" w14:paraId="64FFCFF2" w14:textId="77777777" w:rsidTr="00F6121B">
        <w:trPr>
          <w:trHeight w:val="63"/>
        </w:trPr>
        <w:tc>
          <w:tcPr>
            <w:tcW w:w="2498" w:type="dxa"/>
            <w:vMerge/>
          </w:tcPr>
          <w:p w14:paraId="6E87D9AF" w14:textId="77777777" w:rsidR="005A28B3" w:rsidRPr="00AB72A2" w:rsidRDefault="005A28B3">
            <w:pPr>
              <w:rPr>
                <w:rFonts w:ascii="Mulish" w:hAnsi="Mulish"/>
                <w:lang w:val="et-EE"/>
              </w:rPr>
            </w:pPr>
          </w:p>
        </w:tc>
        <w:tc>
          <w:tcPr>
            <w:tcW w:w="5674" w:type="dxa"/>
          </w:tcPr>
          <w:p w14:paraId="6CB6F646" w14:textId="45AC9D62" w:rsidR="005A28B3" w:rsidRPr="005A28B3" w:rsidRDefault="005A28B3">
            <w:pPr>
              <w:rPr>
                <w:rFonts w:ascii="Mulish" w:hAnsi="Mulish"/>
                <w:lang w:val="et-EE"/>
              </w:rPr>
            </w:pPr>
            <w:r w:rsidRPr="005A28B3">
              <w:rPr>
                <w:lang w:val="et-EE"/>
              </w:rPr>
              <w:t xml:space="preserve">Lisaks on punktid, mille täitmiseks peaks olema küll kava, kuid mille olemasolu ei ole enne hindamist mõistlik nõuda. </w:t>
            </w:r>
            <w:r w:rsidRPr="005A28B3">
              <w:rPr>
                <w:lang w:val="et-EE"/>
              </w:rPr>
              <w:lastRenderedPageBreak/>
              <w:t>Selleks on p 5.1. osas, mis puudutab eriõppevahendeid ja p 5.3, mis puudutab spetsiifiliste andmebaaside vajadust. P 6.1 rahalised vahendid ei pruugi hindamise ajal olla piisavad, kuid olemas peaks olema rahastamise kava.</w:t>
            </w:r>
          </w:p>
        </w:tc>
        <w:tc>
          <w:tcPr>
            <w:tcW w:w="4824" w:type="dxa"/>
          </w:tcPr>
          <w:p w14:paraId="17EE25FE" w14:textId="3936CF7E" w:rsidR="005A28B3" w:rsidRDefault="00DE565A">
            <w:pPr>
              <w:rPr>
                <w:rFonts w:ascii="Mulish" w:hAnsi="Mulish"/>
                <w:lang w:val="et-EE"/>
              </w:rPr>
            </w:pPr>
            <w:r>
              <w:rPr>
                <w:rFonts w:ascii="Mulish" w:hAnsi="Mulish"/>
                <w:lang w:val="et-EE"/>
              </w:rPr>
              <w:lastRenderedPageBreak/>
              <w:t xml:space="preserve">Jätame need punktid sisse olemasoleval kujul. Hindamine on õppekavagrupi põhine. </w:t>
            </w:r>
            <w:r>
              <w:rPr>
                <w:rFonts w:ascii="Mulish" w:hAnsi="Mulish"/>
                <w:lang w:val="et-EE"/>
              </w:rPr>
              <w:lastRenderedPageBreak/>
              <w:t>Ainuüksi paberile pandud kavast ei piisa</w:t>
            </w:r>
            <w:r w:rsidR="00F00BFF">
              <w:rPr>
                <w:rFonts w:ascii="Mulish" w:hAnsi="Mulish"/>
                <w:lang w:val="et-EE"/>
              </w:rPr>
              <w:t xml:space="preserve">. </w:t>
            </w:r>
            <w:r>
              <w:rPr>
                <w:rFonts w:ascii="Mulish" w:hAnsi="Mulish"/>
                <w:lang w:val="et-EE"/>
              </w:rPr>
              <w:t xml:space="preserve">Lisaks, p. </w:t>
            </w:r>
            <w:r w:rsidR="00F00BFF">
              <w:rPr>
                <w:rFonts w:ascii="Mulish" w:hAnsi="Mulish"/>
                <w:lang w:val="et-EE"/>
              </w:rPr>
              <w:t xml:space="preserve">5.3 </w:t>
            </w:r>
            <w:r>
              <w:rPr>
                <w:rFonts w:ascii="Mulish" w:hAnsi="Mulish"/>
                <w:lang w:val="et-EE"/>
              </w:rPr>
              <w:t>sätestab, et peab olema</w:t>
            </w:r>
            <w:r w:rsidR="00F00BFF">
              <w:rPr>
                <w:rFonts w:ascii="Mulish" w:hAnsi="Mulish"/>
                <w:lang w:val="et-EE"/>
              </w:rPr>
              <w:t xml:space="preserve"> tagatud, mitte olemas</w:t>
            </w:r>
            <w:r w:rsidR="008B6826">
              <w:rPr>
                <w:rFonts w:ascii="Mulish" w:hAnsi="Mulish"/>
                <w:lang w:val="et-EE"/>
              </w:rPr>
              <w:t>.</w:t>
            </w:r>
          </w:p>
          <w:p w14:paraId="4212C441" w14:textId="593EA72C" w:rsidR="008B6826" w:rsidRPr="009E34F5" w:rsidRDefault="00DE565A">
            <w:pPr>
              <w:rPr>
                <w:rFonts w:ascii="Mulish" w:hAnsi="Mulish"/>
                <w:lang w:val="et-EE"/>
              </w:rPr>
            </w:pPr>
            <w:r>
              <w:rPr>
                <w:rFonts w:ascii="Mulish" w:hAnsi="Mulish"/>
                <w:lang w:val="et-EE"/>
              </w:rPr>
              <w:t xml:space="preserve">P. </w:t>
            </w:r>
            <w:r w:rsidR="008B6826">
              <w:rPr>
                <w:rFonts w:ascii="Mulish" w:hAnsi="Mulish"/>
                <w:lang w:val="et-EE"/>
              </w:rPr>
              <w:t xml:space="preserve">6.1  - </w:t>
            </w:r>
            <w:r>
              <w:rPr>
                <w:rFonts w:ascii="Mulish" w:hAnsi="Mulish"/>
                <w:lang w:val="et-EE"/>
              </w:rPr>
              <w:t xml:space="preserve">õppe käivitamiseks on </w:t>
            </w:r>
            <w:r w:rsidR="008B6826">
              <w:rPr>
                <w:rFonts w:ascii="Mulish" w:hAnsi="Mulish"/>
                <w:lang w:val="et-EE"/>
              </w:rPr>
              <w:t xml:space="preserve">vajalik piisav </w:t>
            </w:r>
            <w:r>
              <w:rPr>
                <w:rFonts w:ascii="Mulish" w:hAnsi="Mulish"/>
                <w:lang w:val="et-EE"/>
              </w:rPr>
              <w:t xml:space="preserve">hulk </w:t>
            </w:r>
            <w:r w:rsidR="008B6826">
              <w:rPr>
                <w:rFonts w:ascii="Mulish" w:hAnsi="Mulish"/>
                <w:lang w:val="et-EE"/>
              </w:rPr>
              <w:t>raha</w:t>
            </w:r>
            <w:r>
              <w:rPr>
                <w:rFonts w:ascii="Mulish" w:hAnsi="Mulish"/>
                <w:lang w:val="et-EE"/>
              </w:rPr>
              <w:t>.</w:t>
            </w:r>
          </w:p>
        </w:tc>
      </w:tr>
      <w:tr w:rsidR="005A28B3" w:rsidRPr="00DE565A" w14:paraId="16378E8B" w14:textId="77777777" w:rsidTr="00F6121B">
        <w:trPr>
          <w:trHeight w:val="63"/>
        </w:trPr>
        <w:tc>
          <w:tcPr>
            <w:tcW w:w="2498" w:type="dxa"/>
            <w:vMerge/>
          </w:tcPr>
          <w:p w14:paraId="44D96B0E" w14:textId="77777777" w:rsidR="005A28B3" w:rsidRPr="009E34F5" w:rsidRDefault="005A28B3">
            <w:pPr>
              <w:rPr>
                <w:rFonts w:ascii="Mulish" w:hAnsi="Mulish"/>
                <w:lang w:val="et-EE"/>
              </w:rPr>
            </w:pPr>
          </w:p>
        </w:tc>
        <w:tc>
          <w:tcPr>
            <w:tcW w:w="5674" w:type="dxa"/>
          </w:tcPr>
          <w:p w14:paraId="63ECC064" w14:textId="7343429A" w:rsidR="005A28B3" w:rsidRPr="005A28B3" w:rsidRDefault="005A28B3">
            <w:pPr>
              <w:rPr>
                <w:rFonts w:ascii="Mulish" w:hAnsi="Mulish"/>
                <w:lang w:val="et-EE"/>
              </w:rPr>
            </w:pPr>
            <w:r w:rsidRPr="005A28B3">
              <w:rPr>
                <w:lang w:val="et-EE"/>
              </w:rPr>
              <w:t>Punkti 4.6 toodud doktoritööde juhendamine ei ole rakenduskõrgkoolide kontekstis asjakohane.</w:t>
            </w:r>
          </w:p>
        </w:tc>
        <w:tc>
          <w:tcPr>
            <w:tcW w:w="4824" w:type="dxa"/>
          </w:tcPr>
          <w:p w14:paraId="0C9DA109" w14:textId="463A1E74" w:rsidR="005A28B3" w:rsidRPr="009E34F5" w:rsidRDefault="00872FCF">
            <w:pPr>
              <w:rPr>
                <w:rFonts w:ascii="Mulish" w:hAnsi="Mulish"/>
                <w:lang w:val="et-EE"/>
              </w:rPr>
            </w:pPr>
            <w:r>
              <w:rPr>
                <w:rFonts w:ascii="Mulish" w:hAnsi="Mulish"/>
                <w:lang w:val="et-EE"/>
              </w:rPr>
              <w:t xml:space="preserve">Arvestame. </w:t>
            </w:r>
            <w:r w:rsidR="00792A1B">
              <w:rPr>
                <w:rFonts w:ascii="Mulish" w:hAnsi="Mulish"/>
                <w:lang w:val="et-EE"/>
              </w:rPr>
              <w:t xml:space="preserve">Lisame „doktoriõppe </w:t>
            </w:r>
            <w:r>
              <w:rPr>
                <w:rFonts w:ascii="Mulish" w:hAnsi="Mulish"/>
                <w:lang w:val="et-EE"/>
              </w:rPr>
              <w:t>hindamise puhul:</w:t>
            </w:r>
            <w:r w:rsidR="00792A1B">
              <w:rPr>
                <w:rFonts w:ascii="Mulish" w:hAnsi="Mulish"/>
                <w:lang w:val="et-EE"/>
              </w:rPr>
              <w:t>“</w:t>
            </w:r>
            <w:r w:rsidR="00DE565A">
              <w:rPr>
                <w:rFonts w:ascii="Mulish" w:hAnsi="Mulish"/>
                <w:lang w:val="et-EE"/>
              </w:rPr>
              <w:t>.</w:t>
            </w:r>
            <w:r w:rsidR="00792A1B">
              <w:rPr>
                <w:rFonts w:ascii="Mulish" w:hAnsi="Mulish"/>
                <w:lang w:val="et-EE"/>
              </w:rPr>
              <w:t xml:space="preserve"> </w:t>
            </w:r>
            <w:r w:rsidR="00DE565A">
              <w:rPr>
                <w:rFonts w:ascii="Mulish" w:hAnsi="Mulish"/>
                <w:lang w:val="et-EE"/>
              </w:rPr>
              <w:t>J</w:t>
            </w:r>
            <w:r w:rsidR="00792A1B">
              <w:rPr>
                <w:rFonts w:ascii="Mulish" w:hAnsi="Mulish"/>
                <w:lang w:val="et-EE"/>
              </w:rPr>
              <w:t xml:space="preserve">uhend </w:t>
            </w:r>
            <w:r>
              <w:rPr>
                <w:rFonts w:ascii="Mulish" w:hAnsi="Mulish"/>
                <w:lang w:val="et-EE"/>
              </w:rPr>
              <w:t xml:space="preserve">on </w:t>
            </w:r>
            <w:r w:rsidR="00792A1B">
              <w:rPr>
                <w:rFonts w:ascii="Mulish" w:hAnsi="Mulish"/>
                <w:lang w:val="et-EE"/>
              </w:rPr>
              <w:t xml:space="preserve">kõigi õpete </w:t>
            </w:r>
            <w:r w:rsidR="00DE565A">
              <w:rPr>
                <w:rFonts w:ascii="Mulish" w:hAnsi="Mulish"/>
                <w:lang w:val="et-EE"/>
              </w:rPr>
              <w:t>ja kõr</w:t>
            </w:r>
            <w:r>
              <w:rPr>
                <w:rFonts w:ascii="Mulish" w:hAnsi="Mulish"/>
                <w:lang w:val="et-EE"/>
              </w:rPr>
              <w:t>gkoolide</w:t>
            </w:r>
            <w:r w:rsidR="00DE565A">
              <w:rPr>
                <w:rFonts w:ascii="Mulish" w:hAnsi="Mulish"/>
                <w:lang w:val="et-EE"/>
              </w:rPr>
              <w:t xml:space="preserve"> </w:t>
            </w:r>
            <w:r w:rsidR="00792A1B">
              <w:rPr>
                <w:rFonts w:ascii="Mulish" w:hAnsi="Mulish"/>
                <w:lang w:val="et-EE"/>
              </w:rPr>
              <w:t>jaoks</w:t>
            </w:r>
            <w:r>
              <w:rPr>
                <w:rFonts w:ascii="Mulish" w:hAnsi="Mulish"/>
                <w:lang w:val="et-EE"/>
              </w:rPr>
              <w:t>.</w:t>
            </w:r>
          </w:p>
        </w:tc>
      </w:tr>
      <w:tr w:rsidR="009E34F5" w:rsidRPr="00DE565A" w14:paraId="10C3E711" w14:textId="77777777" w:rsidTr="009E34F5">
        <w:trPr>
          <w:trHeight w:val="450"/>
        </w:trPr>
        <w:tc>
          <w:tcPr>
            <w:tcW w:w="2498" w:type="dxa"/>
            <w:vMerge w:val="restart"/>
          </w:tcPr>
          <w:p w14:paraId="21DCE52B" w14:textId="704EFCDC" w:rsidR="009E34F5" w:rsidRPr="00F6121B" w:rsidRDefault="009E34F5">
            <w:pPr>
              <w:rPr>
                <w:rFonts w:ascii="Mulish" w:hAnsi="Mulish"/>
                <w:lang w:val="en-GB"/>
              </w:rPr>
            </w:pPr>
            <w:r>
              <w:rPr>
                <w:rFonts w:ascii="Mulish" w:hAnsi="Mulish"/>
                <w:lang w:val="en-GB"/>
              </w:rPr>
              <w:t>EÜL</w:t>
            </w:r>
          </w:p>
        </w:tc>
        <w:tc>
          <w:tcPr>
            <w:tcW w:w="5674" w:type="dxa"/>
          </w:tcPr>
          <w:p w14:paraId="32506DB3" w14:textId="5CD72CCB" w:rsidR="009E34F5" w:rsidRPr="009E34F5" w:rsidRDefault="009E34F5">
            <w:pPr>
              <w:rPr>
                <w:rFonts w:ascii="Mulish" w:hAnsi="Mulish"/>
                <w:lang w:val="et-EE"/>
              </w:rPr>
            </w:pPr>
            <w:r w:rsidRPr="009E34F5">
              <w:rPr>
                <w:lang w:val="et-EE"/>
              </w:rPr>
              <w:t>Esitatud juhend käsitleb hindamisprotsesside ja -kriteeriumide selgust ja läbipaistvust. Tudengiesindajatena näeme, et üliõpilastele tuleks tagada selge ja arusaadav juurdepääs kõigile hindamisprotseduuridele ja -tulemustele. See hõlmab ka vajadust selgitada, kuidas üliõpilaste tagasisidet kasutatakse õppekavade ja õpetamismeetodite parendamiseks</w:t>
            </w:r>
          </w:p>
        </w:tc>
        <w:tc>
          <w:tcPr>
            <w:tcW w:w="4824" w:type="dxa"/>
          </w:tcPr>
          <w:p w14:paraId="528D4604" w14:textId="43B4E376" w:rsidR="009E34F5" w:rsidRPr="00CE578E" w:rsidRDefault="00872FCF">
            <w:pPr>
              <w:rPr>
                <w:rFonts w:ascii="Mulish" w:hAnsi="Mulish"/>
                <w:lang w:val="et-EE"/>
              </w:rPr>
            </w:pPr>
            <w:r>
              <w:rPr>
                <w:rFonts w:ascii="Mulish" w:hAnsi="Mulish"/>
                <w:lang w:val="et-EE"/>
              </w:rPr>
              <w:t>See on sätestatud p</w:t>
            </w:r>
            <w:r w:rsidR="00DA63D8">
              <w:rPr>
                <w:rFonts w:ascii="Mulish" w:hAnsi="Mulish"/>
                <w:lang w:val="et-EE"/>
              </w:rPr>
              <w:t>unkt</w:t>
            </w:r>
            <w:r>
              <w:rPr>
                <w:rFonts w:ascii="Mulish" w:hAnsi="Mulish"/>
                <w:lang w:val="et-EE"/>
              </w:rPr>
              <w:t>is</w:t>
            </w:r>
            <w:r w:rsidR="00DA63D8">
              <w:rPr>
                <w:rFonts w:ascii="Mulish" w:hAnsi="Mulish"/>
                <w:lang w:val="et-EE"/>
              </w:rPr>
              <w:t xml:space="preserve"> 3.6</w:t>
            </w:r>
            <w:r>
              <w:rPr>
                <w:rFonts w:ascii="Mulish" w:hAnsi="Mulish"/>
                <w:lang w:val="et-EE"/>
              </w:rPr>
              <w:t>, aga</w:t>
            </w:r>
            <w:r w:rsidR="00B165AD">
              <w:rPr>
                <w:rFonts w:ascii="Mulish" w:hAnsi="Mulish"/>
                <w:lang w:val="et-EE"/>
              </w:rPr>
              <w:t xml:space="preserve"> </w:t>
            </w:r>
            <w:r>
              <w:rPr>
                <w:rFonts w:ascii="Mulish" w:hAnsi="Mulish"/>
                <w:lang w:val="et-EE"/>
              </w:rPr>
              <w:t>a</w:t>
            </w:r>
            <w:r w:rsidR="0007219F">
              <w:rPr>
                <w:rFonts w:ascii="Mulish" w:hAnsi="Mulish"/>
                <w:lang w:val="et-EE"/>
              </w:rPr>
              <w:t xml:space="preserve">rvestame </w:t>
            </w:r>
            <w:r>
              <w:rPr>
                <w:rFonts w:ascii="Mulish" w:hAnsi="Mulish"/>
                <w:lang w:val="et-EE"/>
              </w:rPr>
              <w:t xml:space="preserve">kindlasti </w:t>
            </w:r>
            <w:r w:rsidR="0007219F">
              <w:rPr>
                <w:rFonts w:ascii="Mulish" w:hAnsi="Mulish"/>
                <w:lang w:val="et-EE"/>
              </w:rPr>
              <w:t>komisjoni</w:t>
            </w:r>
            <w:r>
              <w:rPr>
                <w:rFonts w:ascii="Mulish" w:hAnsi="Mulish"/>
                <w:lang w:val="et-EE"/>
              </w:rPr>
              <w:t>de koolitamisel.</w:t>
            </w:r>
          </w:p>
        </w:tc>
      </w:tr>
      <w:tr w:rsidR="009E34F5" w:rsidRPr="00B27E42" w14:paraId="659BAA4E" w14:textId="77777777" w:rsidTr="00F6121B">
        <w:trPr>
          <w:trHeight w:val="448"/>
        </w:trPr>
        <w:tc>
          <w:tcPr>
            <w:tcW w:w="2498" w:type="dxa"/>
            <w:vMerge/>
          </w:tcPr>
          <w:p w14:paraId="215D4635" w14:textId="77777777" w:rsidR="009E34F5" w:rsidRPr="00CE578E" w:rsidRDefault="009E34F5">
            <w:pPr>
              <w:rPr>
                <w:rFonts w:ascii="Mulish" w:hAnsi="Mulish"/>
                <w:lang w:val="et-EE"/>
              </w:rPr>
            </w:pPr>
          </w:p>
        </w:tc>
        <w:tc>
          <w:tcPr>
            <w:tcW w:w="5674" w:type="dxa"/>
          </w:tcPr>
          <w:p w14:paraId="125B1043" w14:textId="03F5B623" w:rsidR="009E34F5" w:rsidRPr="009E34F5" w:rsidRDefault="009E34F5">
            <w:pPr>
              <w:rPr>
                <w:lang w:val="et-EE"/>
              </w:rPr>
            </w:pPr>
            <w:r w:rsidRPr="009E34F5">
              <w:rPr>
                <w:lang w:val="et-EE"/>
              </w:rPr>
              <w:t>Eriline tähelepanu digitaalsele õppekeskkonnale ja infrastruktuurile on oluline, arvestades üha suurenevat veebiõppe osakaalu. Siinkohal rõhutame vajadust kaasaegse ja turvalise digiõppe keskkonna järele, mis toetab kõiki üliõpilasi, sealhulgas haridusliku erivajadusega tudengeid.</w:t>
            </w:r>
          </w:p>
        </w:tc>
        <w:tc>
          <w:tcPr>
            <w:tcW w:w="4824" w:type="dxa"/>
          </w:tcPr>
          <w:p w14:paraId="4A8B85DF" w14:textId="40CAB287" w:rsidR="009E34F5" w:rsidRPr="00CE578E" w:rsidRDefault="00872FCF">
            <w:pPr>
              <w:rPr>
                <w:rFonts w:ascii="Mulish" w:hAnsi="Mulish"/>
                <w:lang w:val="et-EE"/>
              </w:rPr>
            </w:pPr>
            <w:r>
              <w:rPr>
                <w:rFonts w:ascii="Mulish" w:hAnsi="Mulish"/>
                <w:lang w:val="et-EE"/>
              </w:rPr>
              <w:t>See on sätestatud punktides 5.1-5.3.</w:t>
            </w:r>
          </w:p>
        </w:tc>
      </w:tr>
      <w:tr w:rsidR="009E34F5" w:rsidRPr="00F606B7" w14:paraId="576A0769" w14:textId="77777777" w:rsidTr="00F6121B">
        <w:trPr>
          <w:trHeight w:val="448"/>
        </w:trPr>
        <w:tc>
          <w:tcPr>
            <w:tcW w:w="2498" w:type="dxa"/>
            <w:vMerge/>
          </w:tcPr>
          <w:p w14:paraId="1FE15A90" w14:textId="77777777" w:rsidR="009E34F5" w:rsidRPr="00CE578E" w:rsidRDefault="009E34F5">
            <w:pPr>
              <w:rPr>
                <w:rFonts w:ascii="Mulish" w:hAnsi="Mulish"/>
                <w:lang w:val="et-EE"/>
              </w:rPr>
            </w:pPr>
          </w:p>
        </w:tc>
        <w:tc>
          <w:tcPr>
            <w:tcW w:w="5674" w:type="dxa"/>
          </w:tcPr>
          <w:p w14:paraId="235C1331" w14:textId="5759E9A2" w:rsidR="009E34F5" w:rsidRPr="009E34F5" w:rsidRDefault="009E34F5">
            <w:pPr>
              <w:rPr>
                <w:lang w:val="et-EE"/>
              </w:rPr>
            </w:pPr>
            <w:r w:rsidRPr="009E34F5">
              <w:rPr>
                <w:lang w:val="et-EE"/>
              </w:rPr>
              <w:t>Lisaks toome tudengite tagasisidest välja, et õppekavades üldiselt on hetkel puudu erivajadustega üliõpilastega arvestamisest. Siin saaks mõelda sellele, et hindamiskomisjonis oleks ka erivajadustega tudengite spetsialist, kes toob vastavalt õppekavades puudusi välja ja oskab omapoolseid soovitusi anda.</w:t>
            </w:r>
          </w:p>
        </w:tc>
        <w:tc>
          <w:tcPr>
            <w:tcW w:w="4824" w:type="dxa"/>
          </w:tcPr>
          <w:p w14:paraId="1E590037" w14:textId="381E2042" w:rsidR="009E34F5" w:rsidRPr="00CE578E" w:rsidRDefault="00B56E89">
            <w:pPr>
              <w:rPr>
                <w:rFonts w:ascii="Mulish" w:hAnsi="Mulish"/>
                <w:lang w:val="et-EE"/>
              </w:rPr>
            </w:pPr>
            <w:r>
              <w:rPr>
                <w:rFonts w:ascii="Mulish" w:hAnsi="Mulish"/>
                <w:lang w:val="et-EE"/>
              </w:rPr>
              <w:t xml:space="preserve">Rõhutame </w:t>
            </w:r>
            <w:r w:rsidR="00872FCF">
              <w:rPr>
                <w:rFonts w:ascii="Mulish" w:hAnsi="Mulish"/>
                <w:lang w:val="et-EE"/>
              </w:rPr>
              <w:t xml:space="preserve">seda aspekti </w:t>
            </w:r>
            <w:r>
              <w:rPr>
                <w:rFonts w:ascii="Mulish" w:hAnsi="Mulish"/>
                <w:lang w:val="et-EE"/>
              </w:rPr>
              <w:t>komisjonide</w:t>
            </w:r>
            <w:r w:rsidR="00872FCF">
              <w:rPr>
                <w:rFonts w:ascii="Mulish" w:hAnsi="Mulish"/>
                <w:lang w:val="et-EE"/>
              </w:rPr>
              <w:t xml:space="preserve"> koolitamisel, iga kitsama teema tarbeks komisjonide koosseisu lisaliikmete lisamist ei pea otstarbekaks.</w:t>
            </w:r>
          </w:p>
        </w:tc>
      </w:tr>
      <w:tr w:rsidR="00BC3C36" w:rsidRPr="009E34F5" w14:paraId="75253157" w14:textId="77777777" w:rsidTr="00F6121B">
        <w:tc>
          <w:tcPr>
            <w:tcW w:w="2498" w:type="dxa"/>
          </w:tcPr>
          <w:p w14:paraId="468421F6" w14:textId="73071EA6" w:rsidR="00BC3C36" w:rsidRPr="009E34F5" w:rsidRDefault="009E34F5">
            <w:pPr>
              <w:rPr>
                <w:rFonts w:ascii="Mulish" w:hAnsi="Mulish"/>
                <w:lang w:val="et-EE"/>
              </w:rPr>
            </w:pPr>
            <w:r w:rsidRPr="009E34F5">
              <w:rPr>
                <w:rFonts w:ascii="Mulish" w:hAnsi="Mulish"/>
                <w:lang w:val="et-EE"/>
              </w:rPr>
              <w:t>Kaitseväe Akadeemia</w:t>
            </w:r>
          </w:p>
        </w:tc>
        <w:tc>
          <w:tcPr>
            <w:tcW w:w="5674" w:type="dxa"/>
          </w:tcPr>
          <w:p w14:paraId="5617A957" w14:textId="65FB9089" w:rsidR="00BC3C36" w:rsidRPr="009E34F5" w:rsidRDefault="009E34F5">
            <w:pPr>
              <w:rPr>
                <w:rFonts w:ascii="Mulish" w:hAnsi="Mulish"/>
                <w:lang w:val="et-EE"/>
              </w:rPr>
            </w:pPr>
            <w:r w:rsidRPr="009E34F5">
              <w:rPr>
                <w:rFonts w:eastAsia="Times New Roman"/>
                <w:lang w:val="et-EE"/>
              </w:rPr>
              <w:t>Kaitseväe Akadeemial ettepanekud puuduvad.</w:t>
            </w:r>
          </w:p>
        </w:tc>
        <w:tc>
          <w:tcPr>
            <w:tcW w:w="4824" w:type="dxa"/>
          </w:tcPr>
          <w:p w14:paraId="64C859AD" w14:textId="76C84A1B" w:rsidR="00BC3C36" w:rsidRPr="009E34F5" w:rsidRDefault="00872FCF">
            <w:pPr>
              <w:rPr>
                <w:rFonts w:ascii="Mulish" w:hAnsi="Mulish"/>
                <w:lang w:val="de-DE"/>
              </w:rPr>
            </w:pPr>
            <w:r>
              <w:rPr>
                <w:rFonts w:ascii="Mulish" w:hAnsi="Mulish"/>
                <w:lang w:val="de-DE"/>
              </w:rPr>
              <w:t>-</w:t>
            </w:r>
          </w:p>
        </w:tc>
      </w:tr>
      <w:tr w:rsidR="009E34F5" w:rsidRPr="00B27E42" w14:paraId="699D44EA" w14:textId="77777777" w:rsidTr="009E34F5">
        <w:trPr>
          <w:trHeight w:val="41"/>
        </w:trPr>
        <w:tc>
          <w:tcPr>
            <w:tcW w:w="2498" w:type="dxa"/>
            <w:vMerge w:val="restart"/>
          </w:tcPr>
          <w:p w14:paraId="2EE2BB3C" w14:textId="37953339" w:rsidR="009E34F5" w:rsidRPr="009E34F5" w:rsidRDefault="009E34F5">
            <w:pPr>
              <w:rPr>
                <w:rFonts w:ascii="Mulish" w:hAnsi="Mulish"/>
                <w:lang w:val="de-DE"/>
              </w:rPr>
            </w:pPr>
            <w:r>
              <w:rPr>
                <w:rFonts w:ascii="Mulish" w:hAnsi="Mulish"/>
                <w:lang w:val="de-DE"/>
              </w:rPr>
              <w:t>EMÜ</w:t>
            </w:r>
          </w:p>
        </w:tc>
        <w:tc>
          <w:tcPr>
            <w:tcW w:w="5674" w:type="dxa"/>
          </w:tcPr>
          <w:p w14:paraId="4B35C48A" w14:textId="45D3C8F1" w:rsidR="009E34F5" w:rsidRPr="00692494" w:rsidRDefault="009E34F5">
            <w:pPr>
              <w:rPr>
                <w:rFonts w:ascii="Mulish" w:hAnsi="Mulish"/>
                <w:lang w:val="et-EE"/>
              </w:rPr>
            </w:pPr>
            <w:r w:rsidRPr="00692494">
              <w:rPr>
                <w:lang w:val="et-EE"/>
              </w:rPr>
              <w:t>Punktis 1 vajaks täpsustamist, kas esma- ja kordushindamise juhend kehtestab hindamise nõuded ja korra õppekavagrupis ja õppes õppeõiguse (edaspidi õppeõiguse) taotlemisel VÕI siiski õppekavagrupis õppeõiguse taotlemisel? Mida mõeldakse õppes õppeõiguse taotlemise all?</w:t>
            </w:r>
          </w:p>
        </w:tc>
        <w:tc>
          <w:tcPr>
            <w:tcW w:w="4824" w:type="dxa"/>
          </w:tcPr>
          <w:p w14:paraId="5C6E2EEC" w14:textId="77777777" w:rsidR="009E34F5" w:rsidRDefault="00692494">
            <w:pPr>
              <w:rPr>
                <w:rFonts w:ascii="Mulish" w:hAnsi="Mulish"/>
                <w:lang w:val="et-EE"/>
              </w:rPr>
            </w:pPr>
            <w:r w:rsidRPr="00692494">
              <w:rPr>
                <w:rFonts w:ascii="Mulish" w:hAnsi="Mulish"/>
                <w:lang w:val="et-EE"/>
              </w:rPr>
              <w:t>Õppe all mõeldakse bakalaureuse-, magistri- jt õppeid. Õppeõigus antakse õppekavagrupis ja õppes – nt sotsiaalteaduste magistriõppes</w:t>
            </w:r>
            <w:r w:rsidR="006D7B22">
              <w:rPr>
                <w:rFonts w:ascii="Mulish" w:hAnsi="Mulish"/>
                <w:lang w:val="et-EE"/>
              </w:rPr>
              <w:t>.</w:t>
            </w:r>
          </w:p>
          <w:p w14:paraId="68C1B081" w14:textId="3D0B1ECF" w:rsidR="006D7B22" w:rsidRPr="00692494" w:rsidRDefault="006D7B22">
            <w:pPr>
              <w:rPr>
                <w:rFonts w:ascii="Mulish" w:hAnsi="Mulish"/>
                <w:lang w:val="et-EE"/>
              </w:rPr>
            </w:pPr>
            <w:r>
              <w:rPr>
                <w:rFonts w:ascii="Mulish" w:hAnsi="Mulish"/>
                <w:lang w:val="et-EE"/>
              </w:rPr>
              <w:t>Sõnastus tuleneb kõrgharidusseadusest</w:t>
            </w:r>
            <w:r w:rsidR="00302864">
              <w:rPr>
                <w:rFonts w:ascii="Mulish" w:hAnsi="Mulish"/>
                <w:lang w:val="et-EE"/>
              </w:rPr>
              <w:t xml:space="preserve"> par</w:t>
            </w:r>
            <w:r w:rsidR="005067B3">
              <w:rPr>
                <w:rFonts w:ascii="Mulish" w:hAnsi="Mulish"/>
                <w:lang w:val="et-EE"/>
              </w:rPr>
              <w:t xml:space="preserve"> 9 lg 1.</w:t>
            </w:r>
            <w:r w:rsidR="00F81B1B">
              <w:rPr>
                <w:rFonts w:ascii="Mulish" w:hAnsi="Mulish"/>
                <w:lang w:val="et-EE"/>
              </w:rPr>
              <w:t xml:space="preserve"> </w:t>
            </w:r>
          </w:p>
        </w:tc>
      </w:tr>
      <w:tr w:rsidR="009E34F5" w:rsidRPr="00B27E42" w14:paraId="1D250479" w14:textId="77777777" w:rsidTr="00F6121B">
        <w:trPr>
          <w:trHeight w:val="37"/>
        </w:trPr>
        <w:tc>
          <w:tcPr>
            <w:tcW w:w="2498" w:type="dxa"/>
            <w:vMerge/>
          </w:tcPr>
          <w:p w14:paraId="1FEACB7E" w14:textId="77777777" w:rsidR="009E34F5" w:rsidRPr="00CE578E" w:rsidRDefault="009E34F5">
            <w:pPr>
              <w:rPr>
                <w:rFonts w:ascii="Mulish" w:hAnsi="Mulish"/>
                <w:lang w:val="et-EE"/>
              </w:rPr>
            </w:pPr>
          </w:p>
        </w:tc>
        <w:tc>
          <w:tcPr>
            <w:tcW w:w="5674" w:type="dxa"/>
          </w:tcPr>
          <w:p w14:paraId="0D8D7598" w14:textId="3CD0AA77" w:rsidR="009E34F5" w:rsidRPr="00692494" w:rsidRDefault="009E34F5">
            <w:pPr>
              <w:rPr>
                <w:rFonts w:ascii="Mulish" w:hAnsi="Mulish"/>
                <w:lang w:val="et-EE"/>
              </w:rPr>
            </w:pPr>
            <w:r w:rsidRPr="00692494">
              <w:rPr>
                <w:lang w:val="et-EE"/>
              </w:rPr>
              <w:t>Punktis 3 vajaks täpsustamist, mida mõeldakse õppekavagrupi hindamise all; kas hinnatakse õppekavagruppi ja õpet? VÕI oleks õigem, et HAKA viib läbi õppekavagrupi õppe kordushindamise VÕI õppekavagrupis õppe kordushindamise. Õppekavagruppi otseselt ei hinnata; vaid õppe vastavuse kaudu st et õppeõigus antakse siis, kui õpe vastab nõutavale tasemele.</w:t>
            </w:r>
          </w:p>
        </w:tc>
        <w:tc>
          <w:tcPr>
            <w:tcW w:w="4824" w:type="dxa"/>
          </w:tcPr>
          <w:p w14:paraId="06E51360" w14:textId="30BE99CC" w:rsidR="009E34F5" w:rsidRPr="00692494" w:rsidRDefault="000C78D7">
            <w:pPr>
              <w:rPr>
                <w:rFonts w:ascii="Mulish" w:hAnsi="Mulish"/>
                <w:lang w:val="et-EE"/>
              </w:rPr>
            </w:pPr>
            <w:r>
              <w:rPr>
                <w:rFonts w:ascii="Mulish" w:hAnsi="Mulish"/>
                <w:lang w:val="et-EE"/>
              </w:rPr>
              <w:t>Sõnastus tuleneb kõrgharidusseadusest par 9 lg 1.</w:t>
            </w:r>
          </w:p>
        </w:tc>
      </w:tr>
      <w:tr w:rsidR="009E34F5" w:rsidRPr="00F606B7" w14:paraId="0B66473C" w14:textId="77777777" w:rsidTr="00F6121B">
        <w:trPr>
          <w:trHeight w:val="37"/>
        </w:trPr>
        <w:tc>
          <w:tcPr>
            <w:tcW w:w="2498" w:type="dxa"/>
            <w:vMerge/>
          </w:tcPr>
          <w:p w14:paraId="30294B15" w14:textId="77777777" w:rsidR="009E34F5" w:rsidRPr="00CE578E" w:rsidRDefault="009E34F5">
            <w:pPr>
              <w:rPr>
                <w:rFonts w:ascii="Mulish" w:hAnsi="Mulish"/>
                <w:lang w:val="et-EE"/>
              </w:rPr>
            </w:pPr>
          </w:p>
        </w:tc>
        <w:tc>
          <w:tcPr>
            <w:tcW w:w="5674" w:type="dxa"/>
          </w:tcPr>
          <w:p w14:paraId="3B323627" w14:textId="6B63E2FC" w:rsidR="009E34F5" w:rsidRPr="00692494" w:rsidRDefault="00692494">
            <w:pPr>
              <w:rPr>
                <w:rFonts w:ascii="Mulish" w:hAnsi="Mulish"/>
                <w:lang w:val="et-EE"/>
              </w:rPr>
            </w:pPr>
            <w:r w:rsidRPr="00692494">
              <w:rPr>
                <w:lang w:val="et-EE"/>
              </w:rPr>
              <w:t>Ettepanek juhendisse lisada peatükk: Lihtsustatud menetlus kordushindamisel õppeõiguse pikendamisel pädeva hindamisasutuse poolt hinnatud õppekava ulatuses. Põhjendus: Et saaks reguleeritud, kuidas kordushindamisel arvestatakse, et/kui nt veterinaarmeditsiini õppekavad on Euroopa Veterinaarõppeasutuste Assotsiatsiooni (EAEVE) poolt akrediteeritud.</w:t>
            </w:r>
          </w:p>
        </w:tc>
        <w:tc>
          <w:tcPr>
            <w:tcW w:w="4824" w:type="dxa"/>
          </w:tcPr>
          <w:p w14:paraId="105441A0" w14:textId="1A7983FB" w:rsidR="009E34F5" w:rsidRPr="00692494" w:rsidRDefault="00872FCF">
            <w:pPr>
              <w:rPr>
                <w:rFonts w:ascii="Mulish" w:hAnsi="Mulish"/>
                <w:lang w:val="et-EE"/>
              </w:rPr>
            </w:pPr>
            <w:r>
              <w:rPr>
                <w:rFonts w:ascii="Mulish" w:hAnsi="Mulish"/>
                <w:lang w:val="et-EE"/>
              </w:rPr>
              <w:t>Esma- ja kordushindamine ning EAEVE akrediteerimine on erinevat tüüpi hindamised. EAEVE hindamise tulemus ei mõjuta EMÜ tähtajatut õppeõigust.</w:t>
            </w:r>
          </w:p>
        </w:tc>
      </w:tr>
      <w:tr w:rsidR="009E34F5" w:rsidRPr="00F606B7" w14:paraId="7CD550D1" w14:textId="77777777" w:rsidTr="00F6121B">
        <w:trPr>
          <w:trHeight w:val="37"/>
        </w:trPr>
        <w:tc>
          <w:tcPr>
            <w:tcW w:w="2498" w:type="dxa"/>
            <w:vMerge/>
          </w:tcPr>
          <w:p w14:paraId="6DC76D6F" w14:textId="77777777" w:rsidR="009E34F5" w:rsidRPr="00CE578E" w:rsidRDefault="009E34F5">
            <w:pPr>
              <w:rPr>
                <w:rFonts w:ascii="Mulish" w:hAnsi="Mulish"/>
                <w:lang w:val="et-EE"/>
              </w:rPr>
            </w:pPr>
          </w:p>
        </w:tc>
        <w:tc>
          <w:tcPr>
            <w:tcW w:w="5674" w:type="dxa"/>
          </w:tcPr>
          <w:p w14:paraId="16BE34B6" w14:textId="6CDC8429" w:rsidR="009E34F5" w:rsidRPr="00692494" w:rsidRDefault="00692494">
            <w:pPr>
              <w:rPr>
                <w:rFonts w:ascii="Mulish" w:hAnsi="Mulish"/>
                <w:lang w:val="et-EE"/>
              </w:rPr>
            </w:pPr>
            <w:r w:rsidRPr="00692494">
              <w:rPr>
                <w:lang w:val="et-EE"/>
              </w:rPr>
              <w:t>Vajaks täpsustamist, kas Lisa 1 kohaselt nõutakse võrdlusanalüüsi teiste sarnaste õppekavadega enda kõrgkoolis ja/või väliskõrgkoolides? Järgmises punktis/lauses oodatakse võrdlust teiste sarnaste õppekavadega Eesti Kõrgkoolides.</w:t>
            </w:r>
          </w:p>
        </w:tc>
        <w:tc>
          <w:tcPr>
            <w:tcW w:w="4824" w:type="dxa"/>
          </w:tcPr>
          <w:p w14:paraId="19F8E77C" w14:textId="52EA0DE6" w:rsidR="009E34F5" w:rsidRPr="00164646" w:rsidRDefault="00872FCF">
            <w:pPr>
              <w:rPr>
                <w:rFonts w:ascii="Mulish" w:hAnsi="Mulish"/>
                <w:lang w:val="et-EE"/>
              </w:rPr>
            </w:pPr>
            <w:r>
              <w:rPr>
                <w:rFonts w:ascii="Mulish" w:hAnsi="Mulish"/>
                <w:lang w:val="et-EE"/>
              </w:rPr>
              <w:t xml:space="preserve">Arvestame. </w:t>
            </w:r>
            <w:r w:rsidR="00164646">
              <w:rPr>
                <w:rFonts w:ascii="Mulish" w:hAnsi="Mulish"/>
                <w:lang w:val="et-EE"/>
              </w:rPr>
              <w:t>Jätame välja „</w:t>
            </w:r>
            <w:r w:rsidR="00164646" w:rsidRPr="00164646">
              <w:rPr>
                <w:rFonts w:eastAsia="Times New Roman" w:cs="Segoe UI"/>
                <w:lang w:val="et-EE"/>
              </w:rPr>
              <w:t>võrdlusanalüüs teiste sarnaste õppekavadega</w:t>
            </w:r>
            <w:r w:rsidR="00164646">
              <w:rPr>
                <w:rFonts w:eastAsia="Times New Roman" w:cs="Segoe UI"/>
                <w:lang w:val="et-EE"/>
              </w:rPr>
              <w:t>“</w:t>
            </w:r>
          </w:p>
        </w:tc>
      </w:tr>
      <w:tr w:rsidR="009E34F5" w:rsidRPr="00B27E42" w14:paraId="23CDA444" w14:textId="77777777" w:rsidTr="00F6121B">
        <w:trPr>
          <w:trHeight w:val="37"/>
        </w:trPr>
        <w:tc>
          <w:tcPr>
            <w:tcW w:w="2498" w:type="dxa"/>
            <w:vMerge/>
          </w:tcPr>
          <w:p w14:paraId="1E8A5ACA" w14:textId="77777777" w:rsidR="009E34F5" w:rsidRPr="00CE578E" w:rsidRDefault="009E34F5">
            <w:pPr>
              <w:rPr>
                <w:rFonts w:ascii="Mulish" w:hAnsi="Mulish"/>
                <w:lang w:val="et-EE"/>
              </w:rPr>
            </w:pPr>
          </w:p>
        </w:tc>
        <w:tc>
          <w:tcPr>
            <w:tcW w:w="5674" w:type="dxa"/>
          </w:tcPr>
          <w:p w14:paraId="3CC9AA69" w14:textId="67B90DF9" w:rsidR="009E34F5" w:rsidRPr="00692494" w:rsidRDefault="00692494">
            <w:pPr>
              <w:rPr>
                <w:rFonts w:ascii="Mulish" w:hAnsi="Mulish"/>
                <w:lang w:val="et-EE"/>
              </w:rPr>
            </w:pPr>
            <w:r w:rsidRPr="00692494">
              <w:rPr>
                <w:lang w:val="et-EE"/>
              </w:rPr>
              <w:t>Lisa 1 tabelis 3 vajaks täpsustamist, millisel perioodil kaitstud doktoritööd arvesse võetakse/kirja tuleb panna.</w:t>
            </w:r>
          </w:p>
        </w:tc>
        <w:tc>
          <w:tcPr>
            <w:tcW w:w="4824" w:type="dxa"/>
          </w:tcPr>
          <w:p w14:paraId="1F9B4C5F" w14:textId="1272192B" w:rsidR="009E34F5" w:rsidRPr="00692494" w:rsidRDefault="0046009D">
            <w:pPr>
              <w:rPr>
                <w:rFonts w:ascii="Mulish" w:hAnsi="Mulish"/>
                <w:lang w:val="et-EE"/>
              </w:rPr>
            </w:pPr>
            <w:r>
              <w:rPr>
                <w:rFonts w:ascii="Mulish" w:hAnsi="Mulish"/>
                <w:lang w:val="et-EE"/>
              </w:rPr>
              <w:t xml:space="preserve">Arvestame. </w:t>
            </w:r>
            <w:r w:rsidR="00BF31C0">
              <w:rPr>
                <w:rFonts w:ascii="Mulish" w:hAnsi="Mulish"/>
                <w:lang w:val="et-EE"/>
              </w:rPr>
              <w:t xml:space="preserve">Alates õppeõiguse </w:t>
            </w:r>
            <w:r w:rsidR="00B5671F">
              <w:rPr>
                <w:rFonts w:ascii="Mulish" w:hAnsi="Mulish"/>
                <w:lang w:val="et-EE"/>
              </w:rPr>
              <w:t>saamisest</w:t>
            </w:r>
            <w:r w:rsidR="002D23F7">
              <w:rPr>
                <w:rFonts w:ascii="Mulish" w:hAnsi="Mulish"/>
                <w:lang w:val="et-EE"/>
              </w:rPr>
              <w:t xml:space="preserve">, täpsustus </w:t>
            </w:r>
            <w:r>
              <w:rPr>
                <w:rFonts w:ascii="Mulish" w:hAnsi="Mulish"/>
                <w:lang w:val="et-EE"/>
              </w:rPr>
              <w:t>lisatud tabelisse.</w:t>
            </w:r>
          </w:p>
        </w:tc>
      </w:tr>
      <w:tr w:rsidR="00692494" w:rsidRPr="00B27E42" w14:paraId="55E1D9D6" w14:textId="77777777" w:rsidTr="00692494">
        <w:trPr>
          <w:trHeight w:val="95"/>
        </w:trPr>
        <w:tc>
          <w:tcPr>
            <w:tcW w:w="2498" w:type="dxa"/>
            <w:vMerge w:val="restart"/>
          </w:tcPr>
          <w:p w14:paraId="5169AF1B" w14:textId="20FD21C8" w:rsidR="00692494" w:rsidRPr="00692494" w:rsidRDefault="00692494">
            <w:pPr>
              <w:rPr>
                <w:rFonts w:ascii="Mulish" w:hAnsi="Mulish"/>
                <w:lang w:val="de-DE"/>
              </w:rPr>
            </w:pPr>
            <w:r>
              <w:rPr>
                <w:rFonts w:ascii="Mulish" w:hAnsi="Mulish"/>
                <w:lang w:val="de-DE"/>
              </w:rPr>
              <w:t>TTÜ</w:t>
            </w:r>
          </w:p>
        </w:tc>
        <w:tc>
          <w:tcPr>
            <w:tcW w:w="5674" w:type="dxa"/>
          </w:tcPr>
          <w:p w14:paraId="5E6F8070" w14:textId="523536F4" w:rsidR="00692494" w:rsidRPr="00692494" w:rsidRDefault="00692494">
            <w:pPr>
              <w:rPr>
                <w:rFonts w:ascii="Mulish" w:hAnsi="Mulish"/>
                <w:lang w:val="et-EE"/>
              </w:rPr>
            </w:pPr>
            <w:r w:rsidRPr="00692494">
              <w:rPr>
                <w:lang w:val="et-EE"/>
              </w:rPr>
              <w:t>VI. Järeltegevused 33. HAKA lähtub eeldusest, et vastutus hindamisaruandes välja toodud probleemide lahendamise ning pideva parendustegevuse eest lasub kõrgkoolil. Kõrgkool esitab üks aasta pärast hindamisotsuse vastu võtmist hindamisnõukogule kirjaliku ülevaate hindamisaruandes esitatud ettepanekute alusel kavandatud ja ellu viidud tegevuste ning nende tulemuste kohta. Soovitus: Kõrgkool võiks saada ka edasisidet hindamisnõukogult tegevusplaanile, et saada tuge kvaliteedi edendamisele.</w:t>
            </w:r>
          </w:p>
        </w:tc>
        <w:tc>
          <w:tcPr>
            <w:tcW w:w="4824" w:type="dxa"/>
          </w:tcPr>
          <w:p w14:paraId="769F3C86" w14:textId="1701F0DE" w:rsidR="00692494" w:rsidRPr="00CE578E" w:rsidRDefault="0046009D">
            <w:pPr>
              <w:rPr>
                <w:rFonts w:ascii="Mulish" w:hAnsi="Mulish"/>
                <w:lang w:val="et-EE"/>
              </w:rPr>
            </w:pPr>
            <w:r>
              <w:rPr>
                <w:rFonts w:ascii="Mulish" w:hAnsi="Mulish"/>
                <w:lang w:val="et-EE"/>
              </w:rPr>
              <w:t xml:space="preserve">Arvestame. </w:t>
            </w:r>
            <w:r w:rsidR="00BF349F">
              <w:rPr>
                <w:rFonts w:ascii="Mulish" w:hAnsi="Mulish"/>
                <w:lang w:val="et-EE"/>
              </w:rPr>
              <w:t xml:space="preserve">HN on seda senini alati </w:t>
            </w:r>
            <w:r w:rsidR="009469F0">
              <w:rPr>
                <w:rFonts w:ascii="Mulish" w:hAnsi="Mulish"/>
                <w:lang w:val="et-EE"/>
              </w:rPr>
              <w:t xml:space="preserve">HN </w:t>
            </w:r>
            <w:r w:rsidR="00C55D13">
              <w:rPr>
                <w:rFonts w:ascii="Mulish" w:hAnsi="Mulish"/>
                <w:lang w:val="et-EE"/>
              </w:rPr>
              <w:t xml:space="preserve">protokollis </w:t>
            </w:r>
            <w:r w:rsidR="00752DB8">
              <w:rPr>
                <w:rFonts w:ascii="Mulish" w:hAnsi="Mulish"/>
                <w:lang w:val="et-EE"/>
              </w:rPr>
              <w:t xml:space="preserve">teinud, aga </w:t>
            </w:r>
            <w:r>
              <w:rPr>
                <w:rFonts w:ascii="Mulish" w:hAnsi="Mulish"/>
                <w:lang w:val="et-EE"/>
              </w:rPr>
              <w:t>lisasime sellekohase täpsustuse punkti 33</w:t>
            </w:r>
            <w:r w:rsidR="00321231">
              <w:rPr>
                <w:rFonts w:ascii="Mulish" w:hAnsi="Mulish"/>
                <w:lang w:val="et-EE"/>
              </w:rPr>
              <w:t>.</w:t>
            </w:r>
          </w:p>
        </w:tc>
      </w:tr>
      <w:tr w:rsidR="00692494" w:rsidRPr="00692494" w14:paraId="21368E65" w14:textId="77777777" w:rsidTr="00F6121B">
        <w:trPr>
          <w:trHeight w:val="94"/>
        </w:trPr>
        <w:tc>
          <w:tcPr>
            <w:tcW w:w="2498" w:type="dxa"/>
            <w:vMerge/>
          </w:tcPr>
          <w:p w14:paraId="65BAB5AB" w14:textId="77777777" w:rsidR="00692494" w:rsidRPr="00CE578E" w:rsidRDefault="00692494">
            <w:pPr>
              <w:rPr>
                <w:rFonts w:ascii="Mulish" w:hAnsi="Mulish"/>
                <w:lang w:val="et-EE"/>
              </w:rPr>
            </w:pPr>
          </w:p>
        </w:tc>
        <w:tc>
          <w:tcPr>
            <w:tcW w:w="5674" w:type="dxa"/>
          </w:tcPr>
          <w:p w14:paraId="46D84F44" w14:textId="37724323" w:rsidR="00692494" w:rsidRPr="00692494" w:rsidRDefault="00692494">
            <w:pPr>
              <w:rPr>
                <w:rFonts w:ascii="Mulish" w:hAnsi="Mulish"/>
                <w:lang w:val="et-EE"/>
              </w:rPr>
            </w:pPr>
            <w:r w:rsidRPr="00692494">
              <w:rPr>
                <w:lang w:val="et-EE"/>
              </w:rPr>
              <w:t xml:space="preserve">Lisa 1 Tabel 1: - Kõrgharidusstandardi Lisas 1 kirjeldatud rakenduskõrgharidusõppe, bakalaureuseõppe, magistriõppe või doktoriõppe õpiväljundid. Siin ja eelnevas viites KHS Lisa 1-le tasub silmas pidada varsti kehtestatavat KHS Lisa 1, </w:t>
            </w:r>
            <w:r w:rsidRPr="00692494">
              <w:rPr>
                <w:lang w:val="et-EE"/>
              </w:rPr>
              <w:lastRenderedPageBreak/>
              <w:t>milles on õpiväljundid BA, MA, ja Phd osas (rakenduskõrgharidusõpet eraldi välja toodud ei ole). Ilmselt võib see tähendada ka vajadust selles dokumendis ümbersõnastamist</w:t>
            </w:r>
          </w:p>
        </w:tc>
        <w:tc>
          <w:tcPr>
            <w:tcW w:w="4824" w:type="dxa"/>
          </w:tcPr>
          <w:p w14:paraId="7365BDFD" w14:textId="5F5B6AF9" w:rsidR="00692494" w:rsidRPr="0046009D" w:rsidRDefault="0046009D">
            <w:pPr>
              <w:rPr>
                <w:rFonts w:ascii="Mulish" w:hAnsi="Mulish"/>
                <w:lang w:val="et-EE"/>
              </w:rPr>
            </w:pPr>
            <w:r w:rsidRPr="0046009D">
              <w:rPr>
                <w:rFonts w:ascii="Mulish" w:hAnsi="Mulish"/>
                <w:lang w:val="et-EE"/>
              </w:rPr>
              <w:lastRenderedPageBreak/>
              <w:t xml:space="preserve">Arvestame. </w:t>
            </w:r>
            <w:r w:rsidR="00845CC7" w:rsidRPr="0046009D">
              <w:rPr>
                <w:rFonts w:ascii="Mulish" w:hAnsi="Mulish"/>
                <w:lang w:val="et-EE"/>
              </w:rPr>
              <w:t xml:space="preserve">Võtame </w:t>
            </w:r>
            <w:r w:rsidRPr="0046009D">
              <w:rPr>
                <w:rFonts w:ascii="Mulish" w:hAnsi="Mulish"/>
                <w:lang w:val="et-EE"/>
              </w:rPr>
              <w:t xml:space="preserve">tabeli pealkirjast </w:t>
            </w:r>
            <w:r w:rsidR="00845CC7" w:rsidRPr="0046009D">
              <w:rPr>
                <w:rFonts w:ascii="Mulish" w:hAnsi="Mulish"/>
                <w:lang w:val="et-EE"/>
              </w:rPr>
              <w:t>õpete loetelu välja</w:t>
            </w:r>
            <w:r w:rsidRPr="0046009D">
              <w:rPr>
                <w:rFonts w:ascii="Mulish" w:hAnsi="Mulish"/>
                <w:lang w:val="et-EE"/>
              </w:rPr>
              <w:t>.</w:t>
            </w:r>
          </w:p>
        </w:tc>
      </w:tr>
      <w:tr w:rsidR="00BC3C36" w:rsidRPr="00DE565A" w14:paraId="70B510B8" w14:textId="77777777" w:rsidTr="00F6121B">
        <w:tc>
          <w:tcPr>
            <w:tcW w:w="2498" w:type="dxa"/>
          </w:tcPr>
          <w:p w14:paraId="546EDC01" w14:textId="2C4E182F" w:rsidR="00BC3C36" w:rsidRPr="00692494" w:rsidRDefault="00692494">
            <w:pPr>
              <w:rPr>
                <w:rFonts w:ascii="Mulish" w:hAnsi="Mulish"/>
                <w:lang w:val="de-DE"/>
              </w:rPr>
            </w:pPr>
            <w:r>
              <w:rPr>
                <w:rFonts w:ascii="Mulish" w:hAnsi="Mulish"/>
                <w:lang w:val="de-DE"/>
              </w:rPr>
              <w:t>EELK UI</w:t>
            </w:r>
          </w:p>
        </w:tc>
        <w:tc>
          <w:tcPr>
            <w:tcW w:w="5674" w:type="dxa"/>
          </w:tcPr>
          <w:p w14:paraId="1635366E" w14:textId="77777777" w:rsidR="00692494" w:rsidRPr="00692494" w:rsidRDefault="00692494" w:rsidP="00692494">
            <w:pPr>
              <w:rPr>
                <w:rFonts w:cstheme="minorHAnsi"/>
                <w:lang w:val="et-EE"/>
              </w:rPr>
            </w:pPr>
            <w:r w:rsidRPr="00692494">
              <w:rPr>
                <w:rFonts w:cstheme="minorHAnsi"/>
                <w:lang w:val="et-EE"/>
              </w:rPr>
              <w:t>EELK Usuteaduse Instituut on võtnud teadmiseks muudatustega kõrgharidusõppe esma- ja kordushindamise juhendi projekti ja meil ei ole täiendavaid kommentaare.</w:t>
            </w:r>
          </w:p>
          <w:p w14:paraId="3BFAF678" w14:textId="77777777" w:rsidR="00BC3C36" w:rsidRPr="00692494" w:rsidRDefault="00BC3C36">
            <w:pPr>
              <w:rPr>
                <w:rFonts w:ascii="Mulish" w:hAnsi="Mulish"/>
                <w:lang w:val="et-EE"/>
              </w:rPr>
            </w:pPr>
          </w:p>
        </w:tc>
        <w:tc>
          <w:tcPr>
            <w:tcW w:w="4824" w:type="dxa"/>
          </w:tcPr>
          <w:p w14:paraId="25CE26D9" w14:textId="011B4E20" w:rsidR="00BC3C36" w:rsidRPr="00692494" w:rsidRDefault="002709FE">
            <w:pPr>
              <w:rPr>
                <w:rFonts w:ascii="Mulish" w:hAnsi="Mulish"/>
                <w:lang w:val="de-DE"/>
              </w:rPr>
            </w:pPr>
            <w:r>
              <w:rPr>
                <w:rFonts w:ascii="Mulish" w:hAnsi="Mulish"/>
                <w:lang w:val="de-DE"/>
              </w:rPr>
              <w:t>-</w:t>
            </w:r>
          </w:p>
        </w:tc>
      </w:tr>
      <w:tr w:rsidR="00BC3C36" w:rsidRPr="00B27E42" w14:paraId="5AA6783F" w14:textId="77777777" w:rsidTr="00F6121B">
        <w:tc>
          <w:tcPr>
            <w:tcW w:w="2498" w:type="dxa"/>
          </w:tcPr>
          <w:p w14:paraId="6D4F6464" w14:textId="4AE152E0" w:rsidR="00BC3C36" w:rsidRPr="00692494" w:rsidRDefault="003028CC">
            <w:pPr>
              <w:rPr>
                <w:rFonts w:ascii="Mulish" w:hAnsi="Mulish"/>
                <w:lang w:val="de-DE"/>
              </w:rPr>
            </w:pPr>
            <w:r>
              <w:rPr>
                <w:rFonts w:ascii="Mulish" w:hAnsi="Mulish"/>
                <w:lang w:val="de-DE"/>
              </w:rPr>
              <w:t>TLÜ</w:t>
            </w:r>
          </w:p>
        </w:tc>
        <w:tc>
          <w:tcPr>
            <w:tcW w:w="5674" w:type="dxa"/>
          </w:tcPr>
          <w:p w14:paraId="19CB52C8" w14:textId="31BF4C7D" w:rsidR="00BC3C36" w:rsidRPr="003028CC" w:rsidRDefault="003028CC">
            <w:pPr>
              <w:rPr>
                <w:rFonts w:ascii="Mulish" w:hAnsi="Mulish"/>
                <w:lang w:val="et-EE"/>
              </w:rPr>
            </w:pPr>
            <w:r w:rsidRPr="003028CC">
              <w:rPr>
                <w:lang w:val="et-EE"/>
              </w:rPr>
              <w:t>Tallinna Ülikool kooskõlastab juhendi projekti ühe ettepanekuga. Soovitame kaaluda juhendi hindamisvaldkonna punkti 7.1 täiendamist lisanõudega, mille kohaselt oleks uue kõrgkooli esmahindamisel oluline kõrgkooli arengukava seotus Eesti arengusuundadega, arvestades hetke geopoliitilist olukorda ning tagamaks edaspidise kooli ja riigi vastastikuse täiendavuse ja toetuse.</w:t>
            </w:r>
          </w:p>
        </w:tc>
        <w:tc>
          <w:tcPr>
            <w:tcW w:w="4824" w:type="dxa"/>
          </w:tcPr>
          <w:p w14:paraId="28337F46" w14:textId="12FEC5A2" w:rsidR="00BC3C36" w:rsidRPr="00CE578E" w:rsidRDefault="002709FE">
            <w:pPr>
              <w:rPr>
                <w:rFonts w:ascii="Mulish" w:hAnsi="Mulish"/>
                <w:lang w:val="et-EE"/>
              </w:rPr>
            </w:pPr>
            <w:r>
              <w:rPr>
                <w:rFonts w:ascii="Mulish" w:hAnsi="Mulish"/>
                <w:lang w:val="et-EE"/>
              </w:rPr>
              <w:t>See teema on kaetud kriteeriumis 1.1.</w:t>
            </w:r>
          </w:p>
        </w:tc>
      </w:tr>
      <w:tr w:rsidR="00CE578E" w:rsidRPr="00B27E42" w14:paraId="4D992D11" w14:textId="77777777" w:rsidTr="00CE578E">
        <w:trPr>
          <w:trHeight w:val="27"/>
        </w:trPr>
        <w:tc>
          <w:tcPr>
            <w:tcW w:w="2498" w:type="dxa"/>
            <w:vMerge w:val="restart"/>
          </w:tcPr>
          <w:p w14:paraId="3F5FDE3B" w14:textId="59F79F96" w:rsidR="00CE578E" w:rsidRPr="00692494" w:rsidRDefault="00CE578E">
            <w:pPr>
              <w:rPr>
                <w:rFonts w:ascii="Mulish" w:hAnsi="Mulish"/>
                <w:lang w:val="de-DE"/>
              </w:rPr>
            </w:pPr>
            <w:r>
              <w:rPr>
                <w:rFonts w:ascii="Mulish" w:hAnsi="Mulish"/>
                <w:lang w:val="de-DE"/>
              </w:rPr>
              <w:t>TÜ</w:t>
            </w:r>
          </w:p>
        </w:tc>
        <w:tc>
          <w:tcPr>
            <w:tcW w:w="5674" w:type="dxa"/>
          </w:tcPr>
          <w:p w14:paraId="5BDD5300" w14:textId="5F1EA42F" w:rsidR="00CE578E" w:rsidRPr="009479A5" w:rsidRDefault="00CE578E">
            <w:pPr>
              <w:rPr>
                <w:rFonts w:ascii="Mulish" w:hAnsi="Mulish"/>
                <w:lang w:val="et-EE"/>
              </w:rPr>
            </w:pPr>
            <w:r w:rsidRPr="009479A5">
              <w:rPr>
                <w:lang w:val="et-EE"/>
              </w:rPr>
              <w:t xml:space="preserve">Juhendis toodud hindamisvaldkondade punkti 1.5 järgi peavad õppekava nimetus ning õppekava, moodulite ja õppeainete eesmärgid ja õpiväljundid olema omavahel kooskõlas ning lisa 1 punkti 1 esimese lõike peavad õppekavad olema välja toodud õppekavade, moodulite ja õppeainete eesmärgid ning õpiväljundid. Eeltoodust tulenevalt peaksid eesmärgid olema kirjeldatud mitte ainult õppekava ja moodulite, vaid ka iga üksiku õppeaine juures. Samas annavad eesmärgid ja õpiväljundid edasi sarnast infot – eesmärgid õppejõu ja õpiväljundid õppija vaatenurgast. Seetõttu tuleks kaaluda, kas õppeainete eesmärkide kohustusliku kirjeldamise nõue on otstarbekas, arvestades, et eesmärgid sisuliselt kordavad õpiväljundeid. Juhend peaks selles osas olema paindlikum ja jätma kõrgkoolidele valiku, kas õppeainete eesmärgid sõnastada või mitte. Teen ettepaneku sõnastada punkti 1.5 teine lause (samuti lisa 1 punkti 1 esimene lause) näiteks järgmiselt: „Õppekava nimetus ning õppekava, moodulite ja õppeainete õpiväljundid on omavahel kooskõlas.“. Vastava ettepaneku </w:t>
            </w:r>
            <w:r w:rsidRPr="009479A5">
              <w:rPr>
                <w:lang w:val="et-EE"/>
              </w:rPr>
              <w:lastRenderedPageBreak/>
              <w:t>tegi Tartu Ülikool ka märtsis-aprillis 2024 kooskõlastamisel olnud kõrgharidusstandardi muudatuste kohta.</w:t>
            </w:r>
          </w:p>
        </w:tc>
        <w:tc>
          <w:tcPr>
            <w:tcW w:w="4824" w:type="dxa"/>
          </w:tcPr>
          <w:p w14:paraId="54C61179" w14:textId="5DB7AD62" w:rsidR="00CE578E" w:rsidRPr="00D91588" w:rsidRDefault="002709FE">
            <w:pPr>
              <w:rPr>
                <w:rFonts w:ascii="Mulish" w:hAnsi="Mulish"/>
                <w:lang w:val="et-EE"/>
              </w:rPr>
            </w:pPr>
            <w:r>
              <w:rPr>
                <w:rFonts w:ascii="Mulish" w:hAnsi="Mulish"/>
                <w:lang w:val="et-EE"/>
              </w:rPr>
              <w:lastRenderedPageBreak/>
              <w:t>A</w:t>
            </w:r>
            <w:r w:rsidR="001E295B">
              <w:rPr>
                <w:rFonts w:ascii="Mulish" w:hAnsi="Mulish"/>
                <w:lang w:val="et-EE"/>
              </w:rPr>
              <w:t>rvestame</w:t>
            </w:r>
            <w:r>
              <w:rPr>
                <w:rFonts w:ascii="Mulish" w:hAnsi="Mulish"/>
                <w:lang w:val="et-EE"/>
              </w:rPr>
              <w:t>.</w:t>
            </w:r>
          </w:p>
        </w:tc>
      </w:tr>
      <w:tr w:rsidR="00CE578E" w:rsidRPr="00F606B7" w14:paraId="07679EB8" w14:textId="77777777" w:rsidTr="00F6121B">
        <w:trPr>
          <w:trHeight w:val="27"/>
        </w:trPr>
        <w:tc>
          <w:tcPr>
            <w:tcW w:w="2498" w:type="dxa"/>
            <w:vMerge/>
          </w:tcPr>
          <w:p w14:paraId="2B90EAFE" w14:textId="77777777" w:rsidR="00CE578E" w:rsidRPr="00D91588" w:rsidRDefault="00CE578E">
            <w:pPr>
              <w:rPr>
                <w:rFonts w:ascii="Mulish" w:hAnsi="Mulish"/>
                <w:lang w:val="et-EE"/>
              </w:rPr>
            </w:pPr>
          </w:p>
        </w:tc>
        <w:tc>
          <w:tcPr>
            <w:tcW w:w="5674" w:type="dxa"/>
          </w:tcPr>
          <w:p w14:paraId="7193CCA4" w14:textId="588FB579" w:rsidR="00CE578E" w:rsidRPr="009479A5" w:rsidRDefault="00CE578E">
            <w:pPr>
              <w:rPr>
                <w:rFonts w:ascii="Mulish" w:hAnsi="Mulish"/>
                <w:lang w:val="et-EE"/>
              </w:rPr>
            </w:pPr>
            <w:r w:rsidRPr="009479A5">
              <w:rPr>
                <w:lang w:val="et-EE"/>
              </w:rPr>
              <w:t>Juhendis toodud hindamisvaldkondade punkti 4.7 järgi peab kaasatavate akadeemiliste töötajate vanuseline struktuur tagama õppetöö jätkusuutlikkuse õppekavagrupis. Palun selgitada, kuidas tagada punkti 4.7 nõude täitmisel isikute võrdne kohtlemine, arvestades, et võrdse kohtlemise seaduse järgi on isikute diskrimineerimine nende vanuse tõttu keelatud (sh töö saamise ning värbamis- ja valikukriteeriumide kehtestamisel, edutamisel, töö- või teenuste osutamise lepingu sõlmimisel või ametisse nimetamisel või valimisel, töötingimuste kehtestamisel, töö- või teenuste osutamise lepingu lõpetamisel või ülesütlemisel ning ametist vabastamisel).</w:t>
            </w:r>
          </w:p>
        </w:tc>
        <w:tc>
          <w:tcPr>
            <w:tcW w:w="4824" w:type="dxa"/>
          </w:tcPr>
          <w:p w14:paraId="4E1E9C86" w14:textId="7EAA9097" w:rsidR="00CE578E" w:rsidRPr="00D91588" w:rsidRDefault="00F606B7">
            <w:pPr>
              <w:rPr>
                <w:rFonts w:ascii="Mulish" w:hAnsi="Mulish"/>
                <w:lang w:val="et-EE"/>
              </w:rPr>
            </w:pPr>
            <w:r>
              <w:rPr>
                <w:rFonts w:ascii="Mulish" w:hAnsi="Mulish"/>
                <w:lang w:val="et-EE"/>
              </w:rPr>
              <w:t xml:space="preserve">Jätame punkti </w:t>
            </w:r>
            <w:r w:rsidR="00D058DB">
              <w:rPr>
                <w:rFonts w:ascii="Mulish" w:hAnsi="Mulish"/>
                <w:lang w:val="et-EE"/>
              </w:rPr>
              <w:t xml:space="preserve">muutmata. </w:t>
            </w:r>
            <w:r w:rsidR="008C6F72">
              <w:rPr>
                <w:rFonts w:ascii="Mulish" w:hAnsi="Mulish"/>
                <w:lang w:val="et-EE"/>
              </w:rPr>
              <w:t>Siin räägitakse jätkusuutlikkusest</w:t>
            </w:r>
            <w:r w:rsidR="00555761">
              <w:rPr>
                <w:rFonts w:ascii="Mulish" w:hAnsi="Mulish"/>
                <w:lang w:val="et-EE"/>
              </w:rPr>
              <w:t xml:space="preserve">. Kõrgkool peab tagama jätkusuutlikkuse ka viie </w:t>
            </w:r>
            <w:r w:rsidR="00A94B6B">
              <w:rPr>
                <w:rFonts w:ascii="Mulish" w:hAnsi="Mulish"/>
                <w:lang w:val="et-EE"/>
              </w:rPr>
              <w:t xml:space="preserve">jne </w:t>
            </w:r>
            <w:r w:rsidR="00555761">
              <w:rPr>
                <w:rFonts w:ascii="Mulish" w:hAnsi="Mulish"/>
                <w:lang w:val="et-EE"/>
              </w:rPr>
              <w:t>aasta pärast</w:t>
            </w:r>
            <w:r w:rsidR="00CA4081">
              <w:rPr>
                <w:rFonts w:ascii="Mulish" w:hAnsi="Mulish"/>
                <w:lang w:val="et-EE"/>
              </w:rPr>
              <w:t>.</w:t>
            </w:r>
            <w:r w:rsidR="00BA476E">
              <w:rPr>
                <w:rFonts w:ascii="Mulish" w:hAnsi="Mulish"/>
                <w:lang w:val="et-EE"/>
              </w:rPr>
              <w:t xml:space="preserve"> Ühtki üksikisikut sellega ei diskrimineerita</w:t>
            </w:r>
            <w:r w:rsidR="006B2231">
              <w:rPr>
                <w:rFonts w:ascii="Mulish" w:hAnsi="Mulish"/>
                <w:lang w:val="et-EE"/>
              </w:rPr>
              <w:t>.</w:t>
            </w:r>
          </w:p>
        </w:tc>
      </w:tr>
      <w:tr w:rsidR="00CE578E" w:rsidRPr="00F606B7" w14:paraId="596414F1" w14:textId="77777777" w:rsidTr="00F6121B">
        <w:trPr>
          <w:trHeight w:val="27"/>
        </w:trPr>
        <w:tc>
          <w:tcPr>
            <w:tcW w:w="2498" w:type="dxa"/>
            <w:vMerge/>
          </w:tcPr>
          <w:p w14:paraId="2D40AABF" w14:textId="77777777" w:rsidR="00CE578E" w:rsidRPr="00D91588" w:rsidRDefault="00CE578E">
            <w:pPr>
              <w:rPr>
                <w:rFonts w:ascii="Mulish" w:hAnsi="Mulish"/>
                <w:lang w:val="et-EE"/>
              </w:rPr>
            </w:pPr>
          </w:p>
        </w:tc>
        <w:tc>
          <w:tcPr>
            <w:tcW w:w="5674" w:type="dxa"/>
          </w:tcPr>
          <w:p w14:paraId="24E33A2E" w14:textId="14DF7F81" w:rsidR="00CE578E" w:rsidRPr="009479A5" w:rsidRDefault="00CE578E">
            <w:pPr>
              <w:rPr>
                <w:rFonts w:ascii="Mulish" w:hAnsi="Mulish"/>
                <w:lang w:val="et-EE"/>
              </w:rPr>
            </w:pPr>
            <w:r w:rsidRPr="009479A5">
              <w:rPr>
                <w:lang w:val="et-EE"/>
              </w:rPr>
              <w:t>Teen ettepaneku muuta hindamisvaldkondade punktis 5 alapunktide järjekorda ja tõsta punkt 5.4 punkti 5.2 järele kolmandaks punktiks (st uus järjestus oleks 5.1, 5.2, 5.4, 5.3). Ühtlasi palun üle vaadata punktide 5.2 ja 5.4 sõnastused ning hinnata, kas neis on kattuvusi.</w:t>
            </w:r>
          </w:p>
        </w:tc>
        <w:tc>
          <w:tcPr>
            <w:tcW w:w="4824" w:type="dxa"/>
          </w:tcPr>
          <w:p w14:paraId="18CCC33F" w14:textId="3B4693A7" w:rsidR="00CE578E" w:rsidRDefault="00EE2EB6">
            <w:pPr>
              <w:rPr>
                <w:rFonts w:ascii="Mulish" w:hAnsi="Mulish"/>
                <w:lang w:val="et-EE"/>
              </w:rPr>
            </w:pPr>
            <w:r>
              <w:rPr>
                <w:rFonts w:ascii="Mulish" w:hAnsi="Mulish"/>
                <w:lang w:val="et-EE"/>
              </w:rPr>
              <w:t>Arvestame</w:t>
            </w:r>
            <w:r w:rsidR="006B2231">
              <w:rPr>
                <w:rFonts w:ascii="Mulish" w:hAnsi="Mulish"/>
                <w:lang w:val="et-EE"/>
              </w:rPr>
              <w:t>.</w:t>
            </w:r>
            <w:r>
              <w:rPr>
                <w:rFonts w:ascii="Mulish" w:hAnsi="Mulish"/>
                <w:lang w:val="et-EE"/>
              </w:rPr>
              <w:t xml:space="preserve"> </w:t>
            </w:r>
            <w:r w:rsidR="006B2231">
              <w:rPr>
                <w:rFonts w:ascii="Mulish" w:hAnsi="Mulish"/>
                <w:lang w:val="et-EE"/>
              </w:rPr>
              <w:t>Kaotame kordused ja ühendame.</w:t>
            </w:r>
          </w:p>
          <w:p w14:paraId="0ADFDDC5" w14:textId="1D9B4543" w:rsidR="003E6B4A" w:rsidRDefault="00FA56BA" w:rsidP="00FA56BA">
            <w:pPr>
              <w:rPr>
                <w:lang w:val="et-EE"/>
              </w:rPr>
            </w:pPr>
            <w:r w:rsidRPr="000D2D9B">
              <w:rPr>
                <w:lang w:val="et-EE"/>
              </w:rPr>
              <w:t>5.2.</w:t>
            </w:r>
            <w:r w:rsidRPr="000D2D9B">
              <w:rPr>
                <w:lang w:val="et-EE"/>
              </w:rPr>
              <w:tab/>
              <w:t xml:space="preserve">Kõrgkooli digitaristu (sh võrk, digiseadmed, tarkvara ja teenused, </w:t>
            </w:r>
            <w:r w:rsidR="00D04847">
              <w:rPr>
                <w:lang w:val="et-EE"/>
              </w:rPr>
              <w:t>õppe</w:t>
            </w:r>
            <w:r w:rsidRPr="000D2D9B">
              <w:rPr>
                <w:lang w:val="et-EE"/>
              </w:rPr>
              <w:t>infosüsteem, kasutajatugi, digiturvalisus jmt) on ajakohane</w:t>
            </w:r>
            <w:r w:rsidR="00EB2A99" w:rsidRPr="000D2D9B">
              <w:rPr>
                <w:lang w:val="et-EE"/>
              </w:rPr>
              <w:t xml:space="preserve">. Digitaristu </w:t>
            </w:r>
            <w:r w:rsidRPr="000D2D9B">
              <w:rPr>
                <w:lang w:val="et-EE"/>
              </w:rPr>
              <w:t xml:space="preserve">arvestab õppekavagrupi õppijate, õppejõudude ja kõrgkooli teiste töötajate vajadustega. </w:t>
            </w:r>
          </w:p>
          <w:p w14:paraId="4D1F78A9" w14:textId="27AE1AC1" w:rsidR="00486B4B" w:rsidRPr="003E6B4A" w:rsidRDefault="00F7004A" w:rsidP="00FA56BA">
            <w:pPr>
              <w:rPr>
                <w:lang w:val="et-EE"/>
              </w:rPr>
            </w:pPr>
            <w:r w:rsidRPr="00F7004A">
              <w:rPr>
                <w:lang w:val="et-EE"/>
              </w:rPr>
              <w:t xml:space="preserve">5.3. </w:t>
            </w:r>
            <w:r w:rsidR="00FA56BA" w:rsidRPr="003E6B4A">
              <w:rPr>
                <w:lang w:val="et-EE"/>
              </w:rPr>
              <w:t>Digiõppe tugi on õppijatele ja õppejõududele kättesaadav.</w:t>
            </w:r>
          </w:p>
          <w:p w14:paraId="3C3BB38E" w14:textId="07D22A3E" w:rsidR="00CE578E" w:rsidRPr="00D91588" w:rsidRDefault="00CE578E">
            <w:pPr>
              <w:rPr>
                <w:rFonts w:ascii="Mulish" w:hAnsi="Mulish"/>
                <w:lang w:val="et-EE"/>
              </w:rPr>
            </w:pPr>
          </w:p>
        </w:tc>
      </w:tr>
      <w:tr w:rsidR="00CE578E" w:rsidRPr="00B27E42" w14:paraId="28254E9F" w14:textId="77777777" w:rsidTr="00F6121B">
        <w:trPr>
          <w:trHeight w:val="27"/>
        </w:trPr>
        <w:tc>
          <w:tcPr>
            <w:tcW w:w="2498" w:type="dxa"/>
            <w:vMerge/>
          </w:tcPr>
          <w:p w14:paraId="6F8450E4" w14:textId="77777777" w:rsidR="00CE578E" w:rsidRPr="00D91588" w:rsidRDefault="00CE578E">
            <w:pPr>
              <w:rPr>
                <w:rFonts w:ascii="Mulish" w:hAnsi="Mulish"/>
                <w:lang w:val="et-EE"/>
              </w:rPr>
            </w:pPr>
          </w:p>
        </w:tc>
        <w:tc>
          <w:tcPr>
            <w:tcW w:w="5674" w:type="dxa"/>
          </w:tcPr>
          <w:p w14:paraId="617A7113" w14:textId="2128BE11" w:rsidR="00CE578E" w:rsidRPr="009479A5" w:rsidRDefault="00CE578E">
            <w:pPr>
              <w:rPr>
                <w:lang w:val="et-EE"/>
              </w:rPr>
            </w:pPr>
            <w:r w:rsidRPr="009479A5">
              <w:rPr>
                <w:lang w:val="et-EE"/>
              </w:rPr>
              <w:t>Lisa 1 punkti 2 esimese alapunkti teise lõike järgi tuleb õppekavagrupis õppe avamiseks või jätkamiseks esitatavas põhjenduses esitada „andmed sihtrühma kohta ning Eesti kutse</w:t>
            </w:r>
            <w:r w:rsidR="001313FC">
              <w:rPr>
                <w:lang w:val="et-EE"/>
              </w:rPr>
              <w:t xml:space="preserve">- </w:t>
            </w:r>
            <w:r w:rsidRPr="009479A5">
              <w:rPr>
                <w:lang w:val="et-EE"/>
              </w:rPr>
              <w:t xml:space="preserve">ja erialaliitude ning ametite ettepanekud, kellega kõrgkooli loomisel ja arengusuundade 2 (2) seadmisel koostööd on tehtud,“. Kuna lõike sõnastus on keeleliselt raskesti jälgitav, teen ettepaneku seda parandada ja teha kaks eraldi lõiget näiteks järgmiselt: </w:t>
            </w:r>
          </w:p>
          <w:p w14:paraId="7C75C36A" w14:textId="4CD6A4BB" w:rsidR="00CE578E" w:rsidRPr="009479A5" w:rsidRDefault="00CE578E">
            <w:pPr>
              <w:rPr>
                <w:lang w:val="et-EE"/>
              </w:rPr>
            </w:pPr>
            <w:r w:rsidRPr="009479A5">
              <w:rPr>
                <w:lang w:val="et-EE"/>
              </w:rPr>
              <w:t xml:space="preserve">„- andmed sihtrühma kohta, </w:t>
            </w:r>
          </w:p>
          <w:p w14:paraId="422037E2" w14:textId="151C5F03" w:rsidR="00CE578E" w:rsidRPr="009479A5" w:rsidRDefault="00CE578E">
            <w:pPr>
              <w:rPr>
                <w:rFonts w:ascii="Mulish" w:hAnsi="Mulish"/>
                <w:lang w:val="et-EE"/>
              </w:rPr>
            </w:pPr>
            <w:r w:rsidRPr="009479A5">
              <w:rPr>
                <w:lang w:val="et-EE"/>
              </w:rPr>
              <w:lastRenderedPageBreak/>
              <w:t>- ettepanekud ja hinnangud Eesti kutse- ja erialaliitudelt ning ametitelt, millega kõrgkooli asutamisel ja arengusuundade seadmisel koostööd on tehtud,“</w:t>
            </w:r>
          </w:p>
        </w:tc>
        <w:tc>
          <w:tcPr>
            <w:tcW w:w="4824" w:type="dxa"/>
          </w:tcPr>
          <w:p w14:paraId="690CB915" w14:textId="4BC75467" w:rsidR="00CE578E" w:rsidRPr="00D91588" w:rsidRDefault="00D25EF9">
            <w:pPr>
              <w:rPr>
                <w:rFonts w:ascii="Mulish" w:hAnsi="Mulish"/>
                <w:lang w:val="et-EE"/>
              </w:rPr>
            </w:pPr>
            <w:r>
              <w:rPr>
                <w:rFonts w:ascii="Mulish" w:hAnsi="Mulish"/>
                <w:lang w:val="et-EE"/>
              </w:rPr>
              <w:lastRenderedPageBreak/>
              <w:t>A</w:t>
            </w:r>
            <w:r w:rsidR="00546A47">
              <w:rPr>
                <w:rFonts w:ascii="Mulish" w:hAnsi="Mulish"/>
                <w:lang w:val="et-EE"/>
              </w:rPr>
              <w:t>rvestame</w:t>
            </w:r>
            <w:r>
              <w:rPr>
                <w:rFonts w:ascii="Mulish" w:hAnsi="Mulish"/>
                <w:lang w:val="et-EE"/>
              </w:rPr>
              <w:t>.</w:t>
            </w:r>
          </w:p>
        </w:tc>
      </w:tr>
      <w:tr w:rsidR="00CE578E" w:rsidRPr="00F606B7" w14:paraId="73160871" w14:textId="77777777" w:rsidTr="00F6121B">
        <w:trPr>
          <w:trHeight w:val="27"/>
        </w:trPr>
        <w:tc>
          <w:tcPr>
            <w:tcW w:w="2498" w:type="dxa"/>
            <w:vMerge/>
          </w:tcPr>
          <w:p w14:paraId="3A45E422" w14:textId="77777777" w:rsidR="00CE578E" w:rsidRPr="00D91588" w:rsidRDefault="00CE578E">
            <w:pPr>
              <w:rPr>
                <w:rFonts w:ascii="Mulish" w:hAnsi="Mulish"/>
                <w:lang w:val="et-EE"/>
              </w:rPr>
            </w:pPr>
          </w:p>
        </w:tc>
        <w:tc>
          <w:tcPr>
            <w:tcW w:w="5674" w:type="dxa"/>
          </w:tcPr>
          <w:p w14:paraId="264DB2F0" w14:textId="6BF551B8" w:rsidR="00CE578E" w:rsidRPr="009479A5" w:rsidRDefault="00CE578E">
            <w:pPr>
              <w:rPr>
                <w:rFonts w:ascii="Mulish" w:hAnsi="Mulish"/>
                <w:lang w:val="et-EE"/>
              </w:rPr>
            </w:pPr>
            <w:r w:rsidRPr="009479A5">
              <w:rPr>
                <w:lang w:val="et-EE"/>
              </w:rPr>
              <w:t>Lisa 1 punkti 2 seitsmenda alapunkti järgi tuleb esitada andmed õppekavagrupis õppe ning sellega seotud teadustegevuse läbiviimiseks vajaliku taristu, investeeringute (sh kavandatavate) ja õppe finantseerimise allikate kohta ning tõenduspõhine hinnang nende piisavusele. Palun selgitada, millistele kriteeriumidele peab tõenduspõhine hinnang vastama.</w:t>
            </w:r>
          </w:p>
        </w:tc>
        <w:tc>
          <w:tcPr>
            <w:tcW w:w="4824" w:type="dxa"/>
          </w:tcPr>
          <w:p w14:paraId="0DD658B6" w14:textId="4265400F" w:rsidR="00CE578E" w:rsidRPr="009870DA" w:rsidRDefault="00D25EF9">
            <w:pPr>
              <w:rPr>
                <w:rFonts w:ascii="Mulish" w:hAnsi="Mulish"/>
                <w:lang w:val="et-EE"/>
              </w:rPr>
            </w:pPr>
            <w:r w:rsidRPr="009870DA">
              <w:rPr>
                <w:rFonts w:ascii="Mulish" w:hAnsi="Mulish"/>
                <w:lang w:val="et-EE"/>
              </w:rPr>
              <w:t xml:space="preserve">Arvestame. </w:t>
            </w:r>
            <w:r w:rsidR="005B6346" w:rsidRPr="009870DA">
              <w:rPr>
                <w:rFonts w:ascii="Mulish" w:hAnsi="Mulish"/>
                <w:lang w:val="et-EE"/>
              </w:rPr>
              <w:t>Jätame välja</w:t>
            </w:r>
            <w:r w:rsidR="00890C55" w:rsidRPr="009870DA">
              <w:rPr>
                <w:rFonts w:ascii="Mulish" w:hAnsi="Mulish"/>
                <w:lang w:val="et-EE"/>
              </w:rPr>
              <w:t xml:space="preserve"> </w:t>
            </w:r>
            <w:r w:rsidR="00476045" w:rsidRPr="009870DA">
              <w:rPr>
                <w:rFonts w:ascii="Mulish" w:hAnsi="Mulish"/>
                <w:lang w:val="et-EE"/>
              </w:rPr>
              <w:t>„</w:t>
            </w:r>
            <w:r w:rsidR="00890C55" w:rsidRPr="009870DA">
              <w:rPr>
                <w:rFonts w:eastAsia="Times New Roman" w:cs="Segoe UI"/>
                <w:color w:val="222222"/>
                <w:shd w:val="clear" w:color="auto" w:fill="FFFFFF"/>
                <w:lang w:val="et-EE"/>
              </w:rPr>
              <w:t xml:space="preserve">ning </w:t>
            </w:r>
            <w:r w:rsidR="00890C55" w:rsidRPr="009870DA">
              <w:rPr>
                <w:rFonts w:eastAsia="Times New Roman" w:cs="Segoe UI"/>
                <w:color w:val="222222"/>
                <w:u w:val="single"/>
                <w:shd w:val="clear" w:color="auto" w:fill="FFFFFF"/>
                <w:lang w:val="et-EE"/>
              </w:rPr>
              <w:t>tõenduspõhine hinnang nende piisavusele</w:t>
            </w:r>
            <w:r w:rsidRPr="009870DA">
              <w:rPr>
                <w:rFonts w:eastAsia="Times New Roman" w:cs="Segoe UI"/>
                <w:color w:val="222222"/>
                <w:u w:val="single"/>
                <w:shd w:val="clear" w:color="auto" w:fill="FFFFFF"/>
                <w:lang w:val="et-EE"/>
              </w:rPr>
              <w:t>“</w:t>
            </w:r>
          </w:p>
        </w:tc>
      </w:tr>
      <w:tr w:rsidR="00CE578E" w:rsidRPr="00B27E42" w14:paraId="7C59B55F" w14:textId="77777777" w:rsidTr="00F6121B">
        <w:trPr>
          <w:trHeight w:val="27"/>
        </w:trPr>
        <w:tc>
          <w:tcPr>
            <w:tcW w:w="2498" w:type="dxa"/>
            <w:vMerge/>
          </w:tcPr>
          <w:p w14:paraId="2F4EDE73" w14:textId="77777777" w:rsidR="00CE578E" w:rsidRDefault="00CE578E">
            <w:pPr>
              <w:rPr>
                <w:rFonts w:ascii="Mulish" w:hAnsi="Mulish"/>
                <w:lang w:val="de-DE"/>
              </w:rPr>
            </w:pPr>
          </w:p>
        </w:tc>
        <w:tc>
          <w:tcPr>
            <w:tcW w:w="5674" w:type="dxa"/>
          </w:tcPr>
          <w:p w14:paraId="7FB89DF1" w14:textId="13E38A9E" w:rsidR="00CE578E" w:rsidRPr="009479A5" w:rsidRDefault="009479A5">
            <w:pPr>
              <w:rPr>
                <w:rFonts w:ascii="Mulish" w:hAnsi="Mulish"/>
                <w:lang w:val="et-EE"/>
              </w:rPr>
            </w:pPr>
            <w:r w:rsidRPr="009479A5">
              <w:rPr>
                <w:lang w:val="et-EE"/>
              </w:rPr>
              <w:t>Juhendi (punkt 6.3 ja lisa 1 punkti 2 kaheksas alapunkt) järgi tuleb hindamisel esitada pikaajaline finantsprojektsioon, milles on muuhulgas välja toodud õppekoha maksumuse kalkulatsioon ja toimimiskeskkonnast tulenevad riskid ning kavandatud meetmed nende maandamiseks. Kuna sõna „pikaajaline“ on määratlemata mõiste, teen ettepaneku kaaluda juhendis täpsustamist, millist perioodi selle all mõeldakse.</w:t>
            </w:r>
          </w:p>
        </w:tc>
        <w:tc>
          <w:tcPr>
            <w:tcW w:w="4824" w:type="dxa"/>
          </w:tcPr>
          <w:p w14:paraId="68902148" w14:textId="0F9D5475" w:rsidR="00CE578E" w:rsidRPr="00D91588" w:rsidRDefault="001B0B7A">
            <w:pPr>
              <w:rPr>
                <w:rFonts w:ascii="Mulish" w:hAnsi="Mulish"/>
                <w:lang w:val="et-EE"/>
              </w:rPr>
            </w:pPr>
            <w:r>
              <w:rPr>
                <w:rFonts w:ascii="Mulish" w:hAnsi="Mulish"/>
                <w:lang w:val="et-EE"/>
              </w:rPr>
              <w:t xml:space="preserve">Lisame täpsustuse - </w:t>
            </w:r>
            <w:r w:rsidR="00890C55">
              <w:rPr>
                <w:rFonts w:ascii="Mulish" w:hAnsi="Mulish"/>
                <w:lang w:val="et-EE"/>
              </w:rPr>
              <w:t>5 aastat</w:t>
            </w:r>
          </w:p>
        </w:tc>
      </w:tr>
      <w:tr w:rsidR="00CE578E" w:rsidRPr="00B27E42" w14:paraId="24190008" w14:textId="77777777" w:rsidTr="00F6121B">
        <w:trPr>
          <w:trHeight w:val="27"/>
        </w:trPr>
        <w:tc>
          <w:tcPr>
            <w:tcW w:w="2498" w:type="dxa"/>
            <w:vMerge/>
          </w:tcPr>
          <w:p w14:paraId="18900522" w14:textId="77777777" w:rsidR="00CE578E" w:rsidRPr="00D91588" w:rsidRDefault="00CE578E">
            <w:pPr>
              <w:rPr>
                <w:rFonts w:ascii="Mulish" w:hAnsi="Mulish"/>
                <w:lang w:val="et-EE"/>
              </w:rPr>
            </w:pPr>
          </w:p>
        </w:tc>
        <w:tc>
          <w:tcPr>
            <w:tcW w:w="5674" w:type="dxa"/>
          </w:tcPr>
          <w:p w14:paraId="6821BA7F" w14:textId="25E727BD" w:rsidR="00CE578E" w:rsidRPr="009479A5" w:rsidRDefault="009479A5">
            <w:pPr>
              <w:rPr>
                <w:rFonts w:ascii="Mulish" w:hAnsi="Mulish"/>
                <w:lang w:val="et-EE"/>
              </w:rPr>
            </w:pPr>
            <w:r w:rsidRPr="009479A5">
              <w:rPr>
                <w:lang w:val="et-EE"/>
              </w:rPr>
              <w:t>Juhendi järgi tuleb esitada praktikakorraldust reguleeriv dokument. Palun täpsustada, kas selleks võib olla ka praktikajuhend või praktika õppeaine ainekava.</w:t>
            </w:r>
          </w:p>
        </w:tc>
        <w:tc>
          <w:tcPr>
            <w:tcW w:w="4824" w:type="dxa"/>
          </w:tcPr>
          <w:p w14:paraId="70FC8F79" w14:textId="7C937E03" w:rsidR="00CE578E" w:rsidRPr="00D91588" w:rsidRDefault="00FF39EC">
            <w:pPr>
              <w:rPr>
                <w:rFonts w:ascii="Mulish" w:hAnsi="Mulish"/>
                <w:lang w:val="et-EE"/>
              </w:rPr>
            </w:pPr>
            <w:r>
              <w:rPr>
                <w:rFonts w:ascii="Mulish" w:hAnsi="Mulish"/>
                <w:lang w:val="et-EE"/>
              </w:rPr>
              <w:t>See võib olla</w:t>
            </w:r>
            <w:r w:rsidR="00F03F2C">
              <w:rPr>
                <w:rFonts w:ascii="Mulish" w:hAnsi="Mulish"/>
                <w:lang w:val="et-EE"/>
              </w:rPr>
              <w:t xml:space="preserve"> p</w:t>
            </w:r>
            <w:r w:rsidR="000D2D9B">
              <w:rPr>
                <w:rFonts w:ascii="Mulish" w:hAnsi="Mulish"/>
                <w:lang w:val="et-EE"/>
              </w:rPr>
              <w:t xml:space="preserve">raktikajuhend </w:t>
            </w:r>
            <w:r w:rsidR="00E85AAE">
              <w:rPr>
                <w:rFonts w:ascii="Mulish" w:hAnsi="Mulish"/>
                <w:lang w:val="et-EE"/>
              </w:rPr>
              <w:t>vm praktikakorraldust reguleeriv dokument</w:t>
            </w:r>
            <w:r>
              <w:rPr>
                <w:rFonts w:ascii="Mulish" w:hAnsi="Mulish"/>
                <w:lang w:val="et-EE"/>
              </w:rPr>
              <w:t xml:space="preserve">. </w:t>
            </w:r>
            <w:r w:rsidR="003B6C78">
              <w:rPr>
                <w:rFonts w:ascii="Mulish" w:hAnsi="Mulish"/>
                <w:lang w:val="et-EE"/>
              </w:rPr>
              <w:t>Üksiku õppeaine ainekava ei ole piisav.</w:t>
            </w:r>
          </w:p>
        </w:tc>
      </w:tr>
      <w:tr w:rsidR="00BC3C36" w:rsidRPr="00CE578E" w14:paraId="3318A547" w14:textId="77777777" w:rsidTr="00F6121B">
        <w:tc>
          <w:tcPr>
            <w:tcW w:w="2498" w:type="dxa"/>
          </w:tcPr>
          <w:p w14:paraId="0862C46A" w14:textId="3BEA0950" w:rsidR="00BC3C36" w:rsidRPr="00692494" w:rsidRDefault="002F554C">
            <w:pPr>
              <w:rPr>
                <w:rFonts w:ascii="Mulish" w:hAnsi="Mulish"/>
                <w:lang w:val="de-DE"/>
              </w:rPr>
            </w:pPr>
            <w:r>
              <w:rPr>
                <w:rFonts w:ascii="Mulish" w:hAnsi="Mulish"/>
                <w:lang w:val="de-DE"/>
              </w:rPr>
              <w:t>Pallas</w:t>
            </w:r>
          </w:p>
        </w:tc>
        <w:tc>
          <w:tcPr>
            <w:tcW w:w="5674" w:type="dxa"/>
          </w:tcPr>
          <w:p w14:paraId="5015C4D0" w14:textId="6B7EAD53" w:rsidR="00BC3C36" w:rsidRPr="00692494" w:rsidRDefault="002F554C">
            <w:pPr>
              <w:rPr>
                <w:rFonts w:ascii="Mulish" w:hAnsi="Mulish"/>
                <w:lang w:val="de-DE"/>
              </w:rPr>
            </w:pPr>
            <w:r>
              <w:rPr>
                <w:color w:val="000000"/>
                <w:lang w:val="et-EE"/>
              </w:rPr>
              <w:t>Kõrgema Kunstikooli Pallas poolt küsimusi või kommentaare pole. Kooskõlastame juhendi.</w:t>
            </w:r>
          </w:p>
        </w:tc>
        <w:tc>
          <w:tcPr>
            <w:tcW w:w="4824" w:type="dxa"/>
          </w:tcPr>
          <w:p w14:paraId="6E2C4324" w14:textId="2C73A174" w:rsidR="00BC3C36" w:rsidRPr="00692494" w:rsidRDefault="004A7F84">
            <w:pPr>
              <w:rPr>
                <w:rFonts w:ascii="Mulish" w:hAnsi="Mulish"/>
                <w:lang w:val="de-DE"/>
              </w:rPr>
            </w:pPr>
            <w:r>
              <w:rPr>
                <w:rFonts w:ascii="Mulish" w:hAnsi="Mulish"/>
                <w:lang w:val="de-DE"/>
              </w:rPr>
              <w:t>-</w:t>
            </w:r>
          </w:p>
        </w:tc>
      </w:tr>
      <w:tr w:rsidR="00BC3C36" w:rsidRPr="004A7F84" w14:paraId="4564B733" w14:textId="77777777" w:rsidTr="00F6121B">
        <w:tc>
          <w:tcPr>
            <w:tcW w:w="2498" w:type="dxa"/>
          </w:tcPr>
          <w:p w14:paraId="53896F88" w14:textId="140BC6FD" w:rsidR="00BC3C36" w:rsidRPr="00692494" w:rsidRDefault="00D91588">
            <w:pPr>
              <w:rPr>
                <w:rFonts w:ascii="Mulish" w:hAnsi="Mulish"/>
                <w:lang w:val="de-DE"/>
              </w:rPr>
            </w:pPr>
            <w:r>
              <w:rPr>
                <w:rFonts w:ascii="Mulish" w:hAnsi="Mulish"/>
                <w:lang w:val="de-DE"/>
              </w:rPr>
              <w:t>HTM</w:t>
            </w:r>
          </w:p>
        </w:tc>
        <w:tc>
          <w:tcPr>
            <w:tcW w:w="5674" w:type="dxa"/>
          </w:tcPr>
          <w:p w14:paraId="372F1EBE" w14:textId="77777777" w:rsidR="00D91588" w:rsidRPr="004A7F84" w:rsidRDefault="00D91588" w:rsidP="00D91588">
            <w:pPr>
              <w:pStyle w:val="xmsonormal"/>
              <w:rPr>
                <w:rFonts w:asciiTheme="minorHAnsi" w:hAnsiTheme="minorHAnsi" w:cstheme="minorHAnsi"/>
                <w:lang w:val="et-EE"/>
              </w:rPr>
            </w:pPr>
            <w:r w:rsidRPr="004A7F84">
              <w:rPr>
                <w:rFonts w:asciiTheme="minorHAnsi" w:hAnsiTheme="minorHAnsi" w:cstheme="minorHAnsi"/>
                <w:lang w:val="et-EE"/>
              </w:rPr>
              <w:t>Haridus-ja Teadusministeerium kooskõlastab HAKA poolt koostatud õppekavagrupi esma- ja kordushindamise juhendi ja kiidab heaks dokumendis tehtud täiendused ja muudatused.</w:t>
            </w:r>
          </w:p>
          <w:p w14:paraId="5A888CF8" w14:textId="77777777" w:rsidR="00BC3C36" w:rsidRPr="00D91588" w:rsidRDefault="00BC3C36">
            <w:pPr>
              <w:rPr>
                <w:rFonts w:ascii="Mulish" w:hAnsi="Mulish"/>
                <w:lang w:val="et-EE"/>
              </w:rPr>
            </w:pPr>
          </w:p>
        </w:tc>
        <w:tc>
          <w:tcPr>
            <w:tcW w:w="4824" w:type="dxa"/>
          </w:tcPr>
          <w:p w14:paraId="4394FAC2" w14:textId="6B05B801" w:rsidR="00BC3C36" w:rsidRPr="00692494" w:rsidRDefault="004A7F84">
            <w:pPr>
              <w:rPr>
                <w:rFonts w:ascii="Mulish" w:hAnsi="Mulish"/>
                <w:lang w:val="de-DE"/>
              </w:rPr>
            </w:pPr>
            <w:r>
              <w:rPr>
                <w:rFonts w:ascii="Mulish" w:hAnsi="Mulish"/>
                <w:lang w:val="de-DE"/>
              </w:rPr>
              <w:t>-</w:t>
            </w:r>
          </w:p>
        </w:tc>
      </w:tr>
      <w:tr w:rsidR="00BC3C36" w:rsidRPr="004A7F84" w14:paraId="651659C5" w14:textId="77777777" w:rsidTr="00F6121B">
        <w:tc>
          <w:tcPr>
            <w:tcW w:w="2498" w:type="dxa"/>
          </w:tcPr>
          <w:p w14:paraId="43D4E762" w14:textId="77777777" w:rsidR="00BC3C36" w:rsidRPr="00692494" w:rsidRDefault="00BC3C36">
            <w:pPr>
              <w:rPr>
                <w:rFonts w:ascii="Mulish" w:hAnsi="Mulish"/>
                <w:lang w:val="de-DE"/>
              </w:rPr>
            </w:pPr>
          </w:p>
        </w:tc>
        <w:tc>
          <w:tcPr>
            <w:tcW w:w="5674" w:type="dxa"/>
          </w:tcPr>
          <w:p w14:paraId="59BD7BDB" w14:textId="77777777" w:rsidR="00BC3C36" w:rsidRPr="00692494" w:rsidRDefault="00BC3C36">
            <w:pPr>
              <w:rPr>
                <w:rFonts w:ascii="Mulish" w:hAnsi="Mulish"/>
                <w:lang w:val="de-DE"/>
              </w:rPr>
            </w:pPr>
          </w:p>
        </w:tc>
        <w:tc>
          <w:tcPr>
            <w:tcW w:w="4824" w:type="dxa"/>
          </w:tcPr>
          <w:p w14:paraId="554577EB" w14:textId="77777777" w:rsidR="00BC3C36" w:rsidRPr="00692494" w:rsidRDefault="00BC3C36">
            <w:pPr>
              <w:rPr>
                <w:rFonts w:ascii="Mulish" w:hAnsi="Mulish"/>
                <w:lang w:val="de-DE"/>
              </w:rPr>
            </w:pPr>
          </w:p>
        </w:tc>
      </w:tr>
    </w:tbl>
    <w:p w14:paraId="446F2CE8" w14:textId="77777777" w:rsidR="00BC3C36" w:rsidRPr="00692494" w:rsidRDefault="00BC3C36">
      <w:pPr>
        <w:rPr>
          <w:lang w:val="de-DE"/>
        </w:rPr>
      </w:pPr>
    </w:p>
    <w:sectPr w:rsidR="00BC3C36" w:rsidRPr="00692494" w:rsidSect="00FE352F">
      <w:pgSz w:w="15840" w:h="12240" w:orient="landscape"/>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ulish">
    <w:panose1 w:val="00000000000000000000"/>
    <w:charset w:val="BA"/>
    <w:family w:val="auto"/>
    <w:pitch w:val="variable"/>
    <w:sig w:usb0="A00002FF" w:usb1="5000204B" w:usb2="00000000" w:usb3="00000000" w:csb0="00000197"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36"/>
    <w:rsid w:val="0000763B"/>
    <w:rsid w:val="000079D3"/>
    <w:rsid w:val="00030417"/>
    <w:rsid w:val="00031722"/>
    <w:rsid w:val="000348C0"/>
    <w:rsid w:val="00057C80"/>
    <w:rsid w:val="00066C05"/>
    <w:rsid w:val="0007219F"/>
    <w:rsid w:val="000A561D"/>
    <w:rsid w:val="000C40B1"/>
    <w:rsid w:val="000C78D7"/>
    <w:rsid w:val="000D2D9B"/>
    <w:rsid w:val="000E2325"/>
    <w:rsid w:val="000F5BCC"/>
    <w:rsid w:val="001270B6"/>
    <w:rsid w:val="001313FC"/>
    <w:rsid w:val="00151EFB"/>
    <w:rsid w:val="00164646"/>
    <w:rsid w:val="001822A9"/>
    <w:rsid w:val="00184937"/>
    <w:rsid w:val="001B0B7A"/>
    <w:rsid w:val="001E295B"/>
    <w:rsid w:val="00207C35"/>
    <w:rsid w:val="00217635"/>
    <w:rsid w:val="00235A4D"/>
    <w:rsid w:val="00237C45"/>
    <w:rsid w:val="00251967"/>
    <w:rsid w:val="00264E33"/>
    <w:rsid w:val="002709FE"/>
    <w:rsid w:val="002857D7"/>
    <w:rsid w:val="002B0B8B"/>
    <w:rsid w:val="002B40A3"/>
    <w:rsid w:val="002D23F7"/>
    <w:rsid w:val="002F554C"/>
    <w:rsid w:val="002F741F"/>
    <w:rsid w:val="00302864"/>
    <w:rsid w:val="003028CC"/>
    <w:rsid w:val="00304DE3"/>
    <w:rsid w:val="00304E70"/>
    <w:rsid w:val="00315383"/>
    <w:rsid w:val="00321231"/>
    <w:rsid w:val="003A6851"/>
    <w:rsid w:val="003B6C78"/>
    <w:rsid w:val="003D38BE"/>
    <w:rsid w:val="003E6B4A"/>
    <w:rsid w:val="003E7EF0"/>
    <w:rsid w:val="00406617"/>
    <w:rsid w:val="004460B3"/>
    <w:rsid w:val="00454B57"/>
    <w:rsid w:val="004566D0"/>
    <w:rsid w:val="0046009D"/>
    <w:rsid w:val="00476045"/>
    <w:rsid w:val="00486B4B"/>
    <w:rsid w:val="004A7F84"/>
    <w:rsid w:val="004C7F02"/>
    <w:rsid w:val="004D2AC9"/>
    <w:rsid w:val="005067B3"/>
    <w:rsid w:val="0052647E"/>
    <w:rsid w:val="00546A47"/>
    <w:rsid w:val="0055057F"/>
    <w:rsid w:val="00555761"/>
    <w:rsid w:val="005615FB"/>
    <w:rsid w:val="005A0CC4"/>
    <w:rsid w:val="005A28B3"/>
    <w:rsid w:val="005B3988"/>
    <w:rsid w:val="005B6346"/>
    <w:rsid w:val="005C7F08"/>
    <w:rsid w:val="005F55E6"/>
    <w:rsid w:val="005F5ABC"/>
    <w:rsid w:val="00621C3F"/>
    <w:rsid w:val="00630B7D"/>
    <w:rsid w:val="00692494"/>
    <w:rsid w:val="006A3D1F"/>
    <w:rsid w:val="006A737A"/>
    <w:rsid w:val="006B2231"/>
    <w:rsid w:val="006B3E72"/>
    <w:rsid w:val="006D7B22"/>
    <w:rsid w:val="007401CF"/>
    <w:rsid w:val="00752DB8"/>
    <w:rsid w:val="0076112E"/>
    <w:rsid w:val="007663A7"/>
    <w:rsid w:val="00772C35"/>
    <w:rsid w:val="00774B4C"/>
    <w:rsid w:val="007907D7"/>
    <w:rsid w:val="00791474"/>
    <w:rsid w:val="00792A1B"/>
    <w:rsid w:val="007A2B13"/>
    <w:rsid w:val="007A4C2B"/>
    <w:rsid w:val="008041AB"/>
    <w:rsid w:val="00820E9A"/>
    <w:rsid w:val="00830BAB"/>
    <w:rsid w:val="00845CC7"/>
    <w:rsid w:val="00863AF7"/>
    <w:rsid w:val="00867F3B"/>
    <w:rsid w:val="0087285E"/>
    <w:rsid w:val="00872FCF"/>
    <w:rsid w:val="00890C55"/>
    <w:rsid w:val="008A77FB"/>
    <w:rsid w:val="008B6826"/>
    <w:rsid w:val="008C27BE"/>
    <w:rsid w:val="008C6F72"/>
    <w:rsid w:val="008E0ABC"/>
    <w:rsid w:val="008F1E75"/>
    <w:rsid w:val="00927108"/>
    <w:rsid w:val="009469F0"/>
    <w:rsid w:val="009479A5"/>
    <w:rsid w:val="009632CD"/>
    <w:rsid w:val="00967FF6"/>
    <w:rsid w:val="00984E1F"/>
    <w:rsid w:val="009870DA"/>
    <w:rsid w:val="00993ECB"/>
    <w:rsid w:val="009C4C2E"/>
    <w:rsid w:val="009E34F5"/>
    <w:rsid w:val="00A23D9F"/>
    <w:rsid w:val="00A451D4"/>
    <w:rsid w:val="00A86A85"/>
    <w:rsid w:val="00A94B6B"/>
    <w:rsid w:val="00AA25F4"/>
    <w:rsid w:val="00AB72A2"/>
    <w:rsid w:val="00AD1121"/>
    <w:rsid w:val="00AD796E"/>
    <w:rsid w:val="00AD7E89"/>
    <w:rsid w:val="00B1381F"/>
    <w:rsid w:val="00B165AD"/>
    <w:rsid w:val="00B20E61"/>
    <w:rsid w:val="00B27E42"/>
    <w:rsid w:val="00B5671F"/>
    <w:rsid w:val="00B56E89"/>
    <w:rsid w:val="00B6321E"/>
    <w:rsid w:val="00B84E41"/>
    <w:rsid w:val="00BA476E"/>
    <w:rsid w:val="00BC3C36"/>
    <w:rsid w:val="00BD3F28"/>
    <w:rsid w:val="00BF31C0"/>
    <w:rsid w:val="00BF349F"/>
    <w:rsid w:val="00C004CC"/>
    <w:rsid w:val="00C2011F"/>
    <w:rsid w:val="00C2498C"/>
    <w:rsid w:val="00C36010"/>
    <w:rsid w:val="00C55D13"/>
    <w:rsid w:val="00CA4081"/>
    <w:rsid w:val="00CD029F"/>
    <w:rsid w:val="00CD2AE7"/>
    <w:rsid w:val="00CE578E"/>
    <w:rsid w:val="00CE6C83"/>
    <w:rsid w:val="00CF1D70"/>
    <w:rsid w:val="00D01AF9"/>
    <w:rsid w:val="00D04847"/>
    <w:rsid w:val="00D058DB"/>
    <w:rsid w:val="00D20588"/>
    <w:rsid w:val="00D25EF9"/>
    <w:rsid w:val="00D652E1"/>
    <w:rsid w:val="00D91588"/>
    <w:rsid w:val="00DA63D8"/>
    <w:rsid w:val="00DE2A8C"/>
    <w:rsid w:val="00DE565A"/>
    <w:rsid w:val="00E20B4F"/>
    <w:rsid w:val="00E50AC0"/>
    <w:rsid w:val="00E83193"/>
    <w:rsid w:val="00E85AAE"/>
    <w:rsid w:val="00EA7DC0"/>
    <w:rsid w:val="00EB2A99"/>
    <w:rsid w:val="00EE2EB6"/>
    <w:rsid w:val="00F006CA"/>
    <w:rsid w:val="00F00BFF"/>
    <w:rsid w:val="00F03F2C"/>
    <w:rsid w:val="00F606B7"/>
    <w:rsid w:val="00F6121B"/>
    <w:rsid w:val="00F624AD"/>
    <w:rsid w:val="00F6417F"/>
    <w:rsid w:val="00F7004A"/>
    <w:rsid w:val="00F81331"/>
    <w:rsid w:val="00F81B1B"/>
    <w:rsid w:val="00F84B6B"/>
    <w:rsid w:val="00FA56BA"/>
    <w:rsid w:val="00FD40FE"/>
    <w:rsid w:val="00FE21E0"/>
    <w:rsid w:val="00FE352F"/>
    <w:rsid w:val="00FF3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027FF"/>
  <w15:chartTrackingRefBased/>
  <w15:docId w15:val="{DC4CFA80-DB38-42DD-AD48-163348B6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BC3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allaad"/>
    <w:rsid w:val="00D91588"/>
    <w:pPr>
      <w:spacing w:after="0" w:line="240" w:lineRule="auto"/>
    </w:pPr>
    <w:rPr>
      <w:rFonts w:ascii="Aptos" w:hAnsi="Aptos"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061629">
      <w:bodyDiv w:val="1"/>
      <w:marLeft w:val="0"/>
      <w:marRight w:val="0"/>
      <w:marTop w:val="0"/>
      <w:marBottom w:val="0"/>
      <w:divBdr>
        <w:top w:val="none" w:sz="0" w:space="0" w:color="auto"/>
        <w:left w:val="none" w:sz="0" w:space="0" w:color="auto"/>
        <w:bottom w:val="none" w:sz="0" w:space="0" w:color="auto"/>
        <w:right w:val="none" w:sz="0" w:space="0" w:color="auto"/>
      </w:divBdr>
    </w:div>
    <w:div w:id="839544875">
      <w:bodyDiv w:val="1"/>
      <w:marLeft w:val="0"/>
      <w:marRight w:val="0"/>
      <w:marTop w:val="0"/>
      <w:marBottom w:val="0"/>
      <w:divBdr>
        <w:top w:val="none" w:sz="0" w:space="0" w:color="auto"/>
        <w:left w:val="none" w:sz="0" w:space="0" w:color="auto"/>
        <w:bottom w:val="none" w:sz="0" w:space="0" w:color="auto"/>
        <w:right w:val="none" w:sz="0" w:space="0" w:color="auto"/>
      </w:divBdr>
    </w:div>
    <w:div w:id="203561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1F122CCD250E46B3A45D4C94D36B02" ma:contentTypeVersion="18" ma:contentTypeDescription="Create a new document." ma:contentTypeScope="" ma:versionID="e838afcbe8c675c8649b1595e29a9342">
  <xsd:schema xmlns:xsd="http://www.w3.org/2001/XMLSchema" xmlns:xs="http://www.w3.org/2001/XMLSchema" xmlns:p="http://schemas.microsoft.com/office/2006/metadata/properties" xmlns:ns2="4f17d19e-6186-4317-943b-d4f60b90dc96" xmlns:ns3="4fd49934-d996-4f6d-a16c-8a4be1da3af3" targetNamespace="http://schemas.microsoft.com/office/2006/metadata/properties" ma:root="true" ma:fieldsID="93c89746b02d4f81b983a6c1a977b349" ns2:_="" ns3:_="">
    <xsd:import namespace="4f17d19e-6186-4317-943b-d4f60b90dc96"/>
    <xsd:import namespace="4fd49934-d996-4f6d-a16c-8a4be1da3af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7d19e-6186-4317-943b-d4f60b90d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c58b60-4b64-42d2-9310-8a033182b4f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49934-d996-4f6d-a16c-8a4be1da3a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fba91c-a973-4d68-87c5-ab7d51079fcd}" ma:internalName="TaxCatchAll" ma:showField="CatchAllData" ma:web="4fd49934-d996-4f6d-a16c-8a4be1da3a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7d19e-6186-4317-943b-d4f60b90dc96">
      <Terms xmlns="http://schemas.microsoft.com/office/infopath/2007/PartnerControls"/>
    </lcf76f155ced4ddcb4097134ff3c332f>
    <TaxCatchAll xmlns="4fd49934-d996-4f6d-a16c-8a4be1da3af3" xsi:nil="true"/>
  </documentManagement>
</p:properties>
</file>

<file path=customXml/itemProps1.xml><?xml version="1.0" encoding="utf-8"?>
<ds:datastoreItem xmlns:ds="http://schemas.openxmlformats.org/officeDocument/2006/customXml" ds:itemID="{9D31F905-9862-4FE0-A0B6-E12577C76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7d19e-6186-4317-943b-d4f60b90dc96"/>
    <ds:schemaRef ds:uri="4fd49934-d996-4f6d-a16c-8a4be1da3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0E0E32-00F3-4C62-B788-3347E86107D6}">
  <ds:schemaRefs>
    <ds:schemaRef ds:uri="http://schemas.microsoft.com/sharepoint/v3/contenttype/forms"/>
  </ds:schemaRefs>
</ds:datastoreItem>
</file>

<file path=customXml/itemProps3.xml><?xml version="1.0" encoding="utf-8"?>
<ds:datastoreItem xmlns:ds="http://schemas.openxmlformats.org/officeDocument/2006/customXml" ds:itemID="{F7A82720-39E3-4C78-A5B4-B553EC95C5F2}">
  <ds:schemaRefs>
    <ds:schemaRef ds:uri="http://schemas.microsoft.com/office/2006/metadata/properties"/>
    <ds:schemaRef ds:uri="http://schemas.microsoft.com/office/infopath/2007/PartnerControls"/>
    <ds:schemaRef ds:uri="4f17d19e-6186-4317-943b-d4f60b90dc96"/>
    <ds:schemaRef ds:uri="4fd49934-d996-4f6d-a16c-8a4be1da3af3"/>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6</Pages>
  <Words>1769</Words>
  <Characters>10243</Characters>
  <Application>Microsoft Office Word</Application>
  <DocSecurity>0</DocSecurity>
  <Lines>853</Lines>
  <Paragraphs>300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 Bauman</dc:creator>
  <cp:keywords/>
  <dc:description/>
  <cp:lastModifiedBy>Maiki Udam</cp:lastModifiedBy>
  <cp:revision>90</cp:revision>
  <dcterms:created xsi:type="dcterms:W3CDTF">2024-04-23T15:59:00Z</dcterms:created>
  <dcterms:modified xsi:type="dcterms:W3CDTF">2024-05-21T10:49:00Z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0x010100401F122CCD250E46B3A45D4C94D36B02</vt:lpwstr>
  </property>
  <property fmtid="{D5CDD505-2E9C-101B-9397-08002B2CF9AE}" pid="3" name="MediaServiceImageTags">
    <vt:lpwstr/>
  </property>
</Properties>
</file>